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ED51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14:paraId="5E7A2E1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14:paraId="6A4DBC5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大理州第二人民医院2025年药物基因检测试剂耗材采购项目</w:t>
      </w:r>
    </w:p>
    <w:p w14:paraId="2A047491">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14:paraId="351CAEE2">
      <w:pPr>
        <w:pStyle w:val="2"/>
        <w:rPr>
          <w:rFonts w:hint="default" w:ascii="Times New Roman" w:hAnsi="Times New Roman" w:cs="Times New Roman"/>
          <w:color w:val="auto"/>
          <w:sz w:val="28"/>
          <w:szCs w:val="28"/>
          <w:lang w:val="en-US" w:eastAsia="zh-CN"/>
        </w:rPr>
      </w:pPr>
    </w:p>
    <w:p w14:paraId="0718967A">
      <w:pPr>
        <w:rPr>
          <w:rFonts w:hint="default" w:ascii="Times New Roman" w:hAnsi="Times New Roman" w:cs="Times New Roman"/>
          <w:lang w:val="en-US" w:eastAsia="zh-CN"/>
        </w:rPr>
      </w:pPr>
    </w:p>
    <w:p w14:paraId="3FEC393D">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14:paraId="54A72F5D">
      <w:pPr>
        <w:pStyle w:val="2"/>
        <w:rPr>
          <w:rFonts w:hint="default" w:ascii="Times New Roman" w:hAnsi="Times New Roman" w:cs="Times New Roman"/>
          <w:color w:val="auto"/>
          <w:sz w:val="44"/>
          <w:szCs w:val="44"/>
          <w:lang w:val="en-US" w:eastAsia="zh-CN"/>
        </w:rPr>
      </w:pPr>
    </w:p>
    <w:p w14:paraId="005A0F0C">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14:paraId="0E751AB1">
      <w:pPr>
        <w:pStyle w:val="2"/>
        <w:rPr>
          <w:rFonts w:hint="default" w:ascii="Times New Roman" w:hAnsi="Times New Roman" w:cs="Times New Roman"/>
          <w:color w:val="auto"/>
          <w:sz w:val="44"/>
          <w:szCs w:val="44"/>
          <w:lang w:val="en-US" w:eastAsia="zh-CN"/>
        </w:rPr>
      </w:pPr>
    </w:p>
    <w:p w14:paraId="076D19E7">
      <w:pPr>
        <w:rPr>
          <w:rFonts w:hint="default" w:ascii="Times New Roman" w:hAnsi="Times New Roman" w:cs="Times New Roman"/>
          <w:lang w:val="en-US" w:eastAsia="zh-CN"/>
        </w:rPr>
      </w:pPr>
    </w:p>
    <w:p w14:paraId="1C51E2A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DLZEYZCB-2025-0</w:t>
      </w:r>
      <w:r>
        <w:rPr>
          <w:rFonts w:hint="eastAsia" w:ascii="Times New Roman" w:hAnsi="Times New Roman" w:cs="Times New Roman"/>
          <w:b w:val="0"/>
          <w:bCs w:val="0"/>
          <w:color w:val="auto"/>
          <w:sz w:val="32"/>
          <w:szCs w:val="32"/>
          <w:u w:val="single" w:color="auto"/>
          <w:lang w:val="en-US" w:eastAsia="zh-CN"/>
        </w:rPr>
        <w:t>5</w:t>
      </w:r>
      <w:r>
        <w:rPr>
          <w:rFonts w:hint="default" w:ascii="Times New Roman" w:hAnsi="Times New Roman" w:cs="Times New Roman"/>
          <w:b w:val="0"/>
          <w:bCs w:val="0"/>
          <w:color w:val="auto"/>
          <w:sz w:val="32"/>
          <w:szCs w:val="32"/>
          <w:u w:val="single" w:color="auto"/>
          <w:lang w:val="en-US" w:eastAsia="zh-CN"/>
        </w:rPr>
        <w:t xml:space="preserve"> </w:t>
      </w:r>
    </w:p>
    <w:p w14:paraId="4B5132F3">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cs="Times New Roman"/>
          <w:b w:val="0"/>
          <w:bCs w:val="0"/>
          <w:color w:val="auto"/>
          <w:sz w:val="32"/>
          <w:szCs w:val="32"/>
          <w:u w:val="single"/>
          <w:lang w:val="en-US" w:eastAsia="zh-CN"/>
        </w:rPr>
        <w:t>大理州第二人民医院2025年药物基因检测试剂耗材采购项目</w:t>
      </w:r>
    </w:p>
    <w:p w14:paraId="1CBCEF5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p>
    <w:p w14:paraId="0B7D652D">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p>
    <w:p w14:paraId="131125B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p>
    <w:p w14:paraId="3BF620BE">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lang w:val="en-US" w:eastAsia="zh-CN"/>
        </w:rPr>
        <w:t>大理市满江街道红山路与太和路交汇处</w:t>
      </w:r>
    </w:p>
    <w:p w14:paraId="191FB9F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w:t>
      </w:r>
      <w:r>
        <w:rPr>
          <w:rFonts w:hint="default" w:ascii="Times New Roman" w:hAnsi="Times New Roman" w:cs="Times New Roman"/>
          <w:b w:val="0"/>
          <w:bCs w:val="0"/>
          <w:color w:val="auto"/>
          <w:sz w:val="32"/>
          <w:szCs w:val="32"/>
          <w:u w:val="single" w:color="auto"/>
          <w:lang w:eastAsia="zh-CN"/>
        </w:rPr>
        <w:t>202</w:t>
      </w:r>
      <w:r>
        <w:rPr>
          <w:rFonts w:hint="default" w:ascii="Times New Roman" w:hAnsi="Times New Roman" w:cs="Times New Roman"/>
          <w:b w:val="0"/>
          <w:bCs w:val="0"/>
          <w:color w:val="auto"/>
          <w:sz w:val="32"/>
          <w:szCs w:val="32"/>
          <w:u w:val="single" w:color="auto"/>
          <w:lang w:val="en-US" w:eastAsia="zh-CN"/>
        </w:rPr>
        <w:t>5</w:t>
      </w:r>
      <w:r>
        <w:rPr>
          <w:rFonts w:hint="default" w:ascii="Times New Roman" w:hAnsi="Times New Roman" w:eastAsia="方正仿宋_GBK" w:cs="Times New Roman"/>
          <w:b w:val="0"/>
          <w:bCs w:val="0"/>
          <w:color w:val="auto"/>
          <w:sz w:val="32"/>
          <w:szCs w:val="32"/>
          <w:u w:val="single" w:color="auto"/>
        </w:rPr>
        <w:t>年</w:t>
      </w:r>
      <w:r>
        <w:rPr>
          <w:rFonts w:hint="eastAsia" w:ascii="Times New Roman" w:hAnsi="Times New Roman" w:cs="Times New Roman"/>
          <w:b w:val="0"/>
          <w:bCs w:val="0"/>
          <w:color w:val="auto"/>
          <w:sz w:val="32"/>
          <w:szCs w:val="32"/>
          <w:u w:val="single" w:color="auto"/>
          <w:lang w:val="en-US" w:eastAsia="zh-CN"/>
        </w:rPr>
        <w:t>7</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14:paraId="0C92C7B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1F6A83A">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E043F6E">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6352787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E05BEF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B0CAC6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6D97253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4CF13E12">
      <w:pPr>
        <w:pStyle w:val="2"/>
        <w:rPr>
          <w:rFonts w:hint="default" w:ascii="Times New Roman" w:hAnsi="Times New Roman" w:cs="Times New Roman"/>
        </w:rPr>
      </w:pPr>
    </w:p>
    <w:p w14:paraId="22282706">
      <w:pPr>
        <w:spacing w:before="0" w:beforeLines="0" w:after="0" w:afterLines="0" w:line="240" w:lineRule="auto"/>
        <w:ind w:left="0" w:leftChars="0" w:right="0" w:rightChars="0" w:firstLine="0" w:firstLineChars="0"/>
        <w:jc w:val="both"/>
        <w:rPr>
          <w:rFonts w:hint="default" w:ascii="Times New Roman" w:hAnsi="Times New Roman" w:eastAsia="宋体" w:cs="Times New Roman"/>
          <w:kern w:val="2"/>
          <w:sz w:val="21"/>
          <w:szCs w:val="24"/>
          <w:lang w:val="en-US" w:eastAsia="zh-CN" w:bidi="ar-SA"/>
        </w:rPr>
      </w:pPr>
    </w:p>
    <w:sdt>
      <w:sdtPr>
        <w:rPr>
          <w:rFonts w:hint="default" w:ascii="Times New Roman" w:hAnsi="Times New Roman" w:eastAsia="宋体" w:cs="Times New Roman"/>
          <w:kern w:val="2"/>
          <w:sz w:val="21"/>
          <w:szCs w:val="24"/>
          <w:lang w:val="en-US" w:eastAsia="zh-CN" w:bidi="ar-SA"/>
        </w:rPr>
        <w:id w:val="147474925"/>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14:paraId="544FD059">
          <w:pPr>
            <w:spacing w:before="0" w:beforeLines="0" w:after="0" w:afterLines="0" w:line="240" w:lineRule="auto"/>
            <w:ind w:left="0" w:leftChars="0" w:right="0" w:rightChars="0" w:firstLine="0" w:firstLineChars="0"/>
            <w:jc w:val="center"/>
            <w:rPr>
              <w:rFonts w:hint="default" w:ascii="Times New Roman" w:hAnsi="Times New Roman" w:cs="Times New Roman"/>
              <w:sz w:val="44"/>
              <w:szCs w:val="44"/>
            </w:rPr>
          </w:pPr>
          <w:r>
            <w:rPr>
              <w:rFonts w:hint="default" w:ascii="Times New Roman" w:hAnsi="Times New Roman" w:eastAsia="宋体" w:cs="Times New Roman"/>
              <w:b/>
              <w:bCs/>
              <w:sz w:val="44"/>
              <w:szCs w:val="44"/>
            </w:rPr>
            <w:t>目录</w:t>
          </w:r>
        </w:p>
        <w:p w14:paraId="266BE2E5">
          <w:pPr>
            <w:pStyle w:val="24"/>
            <w:tabs>
              <w:tab w:val="right" w:leader="dot" w:pos="8306"/>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14:paraId="17BE5DF4">
          <w:pPr>
            <w:pStyle w:val="24"/>
            <w:tabs>
              <w:tab w:val="right" w:leader="dot" w:pos="8306"/>
            </w:tabs>
            <w:rPr>
              <w:rFonts w:hint="default" w:ascii="Times New Roman" w:hAnsi="Times New Roman" w:cs="Times New Roman"/>
              <w:b/>
            </w:rPr>
          </w:pPr>
        </w:p>
        <w:p w14:paraId="679470CC">
          <w:pPr>
            <w:pStyle w:val="24"/>
            <w:tabs>
              <w:tab w:val="right" w:leader="dot" w:pos="8306"/>
            </w:tabs>
            <w:rPr>
              <w:rFonts w:hint="default" w:ascii="Times New Roman" w:hAnsi="Times New Roman" w:cs="Times New Roman"/>
              <w:b/>
            </w:rPr>
          </w:pPr>
        </w:p>
        <w:p w14:paraId="442742CB">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_Toc1926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第一章 询价公告</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_Toc1926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3</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5614C809">
          <w:pPr>
            <w:pStyle w:val="24"/>
            <w:tabs>
              <w:tab w:val="right" w:leader="dot" w:pos="8306"/>
            </w:tabs>
            <w:rPr>
              <w:rFonts w:hint="default" w:ascii="Times New Roman" w:hAnsi="Times New Roman" w:cs="Times New Roman"/>
              <w:b/>
              <w:sz w:val="32"/>
              <w:szCs w:val="32"/>
            </w:rPr>
          </w:pPr>
        </w:p>
        <w:p w14:paraId="0BC0AD88">
          <w:pPr>
            <w:pStyle w:val="24"/>
            <w:tabs>
              <w:tab w:val="right" w:leader="dot" w:pos="8306"/>
            </w:tabs>
            <w:rPr>
              <w:rFonts w:hint="default" w:ascii="Times New Roman" w:hAnsi="Times New Roman" w:cs="Times New Roman"/>
              <w:b/>
              <w:sz w:val="32"/>
              <w:szCs w:val="32"/>
            </w:rPr>
          </w:pPr>
        </w:p>
        <w:p w14:paraId="224E6E95">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_Toc23552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第二章 供应商须知</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_Toc23552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7</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7716FFBA">
          <w:pPr>
            <w:pStyle w:val="24"/>
            <w:tabs>
              <w:tab w:val="right" w:leader="dot" w:pos="8306"/>
            </w:tabs>
            <w:rPr>
              <w:rFonts w:hint="default" w:ascii="Times New Roman" w:hAnsi="Times New Roman" w:cs="Times New Roman"/>
              <w:b/>
              <w:sz w:val="32"/>
              <w:szCs w:val="32"/>
            </w:rPr>
          </w:pPr>
        </w:p>
        <w:p w14:paraId="695D1E9D">
          <w:pPr>
            <w:pStyle w:val="24"/>
            <w:tabs>
              <w:tab w:val="right" w:leader="dot" w:pos="8306"/>
            </w:tabs>
            <w:rPr>
              <w:rFonts w:hint="default" w:ascii="Times New Roman" w:hAnsi="Times New Roman" w:cs="Times New Roman"/>
              <w:b/>
              <w:sz w:val="32"/>
              <w:szCs w:val="32"/>
            </w:rPr>
          </w:pPr>
        </w:p>
        <w:p w14:paraId="19333246">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_Toc27244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第三章 合同书样式及主要条款</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_Toc27244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20</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19FF564F">
          <w:pPr>
            <w:pStyle w:val="24"/>
            <w:tabs>
              <w:tab w:val="right" w:leader="dot" w:pos="8306"/>
            </w:tabs>
            <w:rPr>
              <w:rFonts w:hint="default" w:ascii="Times New Roman" w:hAnsi="Times New Roman" w:cs="Times New Roman"/>
              <w:b/>
              <w:sz w:val="32"/>
              <w:szCs w:val="32"/>
            </w:rPr>
          </w:pPr>
        </w:p>
        <w:p w14:paraId="5BEBE1BD">
          <w:pPr>
            <w:pStyle w:val="24"/>
            <w:tabs>
              <w:tab w:val="right" w:leader="dot" w:pos="8306"/>
            </w:tabs>
            <w:rPr>
              <w:rFonts w:hint="default" w:ascii="Times New Roman" w:hAnsi="Times New Roman" w:cs="Times New Roman"/>
              <w:b/>
              <w:sz w:val="32"/>
              <w:szCs w:val="32"/>
            </w:rPr>
          </w:pPr>
        </w:p>
        <w:p w14:paraId="67FEC8C7">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_Toc2983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第四章 询价响应文件格式</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_Toc2983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28</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1DEE35BD">
          <w:pPr>
            <w:pStyle w:val="24"/>
            <w:tabs>
              <w:tab w:val="right" w:leader="dot" w:pos="8306"/>
            </w:tabs>
            <w:rPr>
              <w:rFonts w:hint="default" w:ascii="Times New Roman" w:hAnsi="Times New Roman" w:cs="Times New Roman"/>
              <w:b/>
              <w:sz w:val="32"/>
              <w:szCs w:val="32"/>
            </w:rPr>
          </w:pPr>
        </w:p>
        <w:p w14:paraId="46806F44">
          <w:pPr>
            <w:pStyle w:val="24"/>
            <w:tabs>
              <w:tab w:val="right" w:leader="dot" w:pos="8306"/>
            </w:tabs>
            <w:rPr>
              <w:rFonts w:hint="default" w:ascii="Times New Roman" w:hAnsi="Times New Roman" w:cs="Times New Roman"/>
              <w:b/>
              <w:sz w:val="32"/>
              <w:szCs w:val="32"/>
            </w:rPr>
          </w:pPr>
        </w:p>
        <w:p w14:paraId="019EF3C8">
          <w:pPr>
            <w:pStyle w:val="24"/>
            <w:tabs>
              <w:tab w:val="right" w:leader="dot" w:pos="8306"/>
            </w:tabs>
            <w:rPr>
              <w:rFonts w:hint="default" w:ascii="Times New Roman" w:hAnsi="Times New Roman" w:cs="Times New Roman"/>
              <w:b/>
              <w:sz w:val="32"/>
              <w:szCs w:val="32"/>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_Toc24466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第五章 采购需求</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_Toc24466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44</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2E46E712">
          <w:pPr>
            <w:pStyle w:val="24"/>
            <w:tabs>
              <w:tab w:val="right" w:leader="dot" w:pos="8306"/>
            </w:tabs>
            <w:rPr>
              <w:rFonts w:hint="default" w:ascii="Times New Roman" w:hAnsi="Times New Roman" w:cs="Times New Roman"/>
              <w:b/>
              <w:sz w:val="32"/>
              <w:szCs w:val="32"/>
            </w:rPr>
          </w:pPr>
        </w:p>
        <w:p w14:paraId="539A09A1">
          <w:pPr>
            <w:pStyle w:val="24"/>
            <w:tabs>
              <w:tab w:val="right" w:leader="dot" w:pos="8306"/>
            </w:tabs>
            <w:rPr>
              <w:rFonts w:hint="default" w:ascii="Times New Roman" w:hAnsi="Times New Roman" w:cs="Times New Roman"/>
              <w:b/>
              <w:sz w:val="32"/>
              <w:szCs w:val="32"/>
            </w:rPr>
          </w:pPr>
        </w:p>
        <w:p w14:paraId="11009137">
          <w:pPr>
            <w:pStyle w:val="24"/>
            <w:tabs>
              <w:tab w:val="right" w:leader="dot" w:pos="8306"/>
            </w:tabs>
            <w:rPr>
              <w:rFonts w:hint="default" w:ascii="Times New Roman" w:hAnsi="Times New Roman" w:cs="Times New Roman"/>
              <w:b/>
            </w:rPr>
          </w:pP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HYPERLINK \l _Toc26863 </w:instrText>
          </w:r>
          <w:r>
            <w:rPr>
              <w:rFonts w:hint="default" w:ascii="Times New Roman" w:hAnsi="Times New Roman" w:cs="Times New Roman"/>
              <w:b/>
              <w:sz w:val="32"/>
              <w:szCs w:val="32"/>
            </w:rPr>
            <w:fldChar w:fldCharType="separate"/>
          </w:r>
          <w:r>
            <w:rPr>
              <w:rFonts w:hint="default" w:ascii="Times New Roman" w:hAnsi="Times New Roman" w:eastAsia="方正小标宋_GBK" w:cs="Times New Roman"/>
              <w:b/>
              <w:sz w:val="32"/>
              <w:szCs w:val="32"/>
              <w:lang w:val="en-US" w:eastAsia="zh-CN"/>
            </w:rPr>
            <w:t>第六章 评审办法</w:t>
          </w:r>
          <w:r>
            <w:rPr>
              <w:rFonts w:hint="default" w:ascii="Times New Roman" w:hAnsi="Times New Roman" w:cs="Times New Roman"/>
              <w:b/>
              <w:sz w:val="32"/>
              <w:szCs w:val="32"/>
            </w:rPr>
            <w:tab/>
          </w:r>
          <w:r>
            <w:rPr>
              <w:rFonts w:hint="default" w:ascii="Times New Roman" w:hAnsi="Times New Roman" w:cs="Times New Roman"/>
              <w:b/>
              <w:sz w:val="32"/>
              <w:szCs w:val="32"/>
            </w:rPr>
            <w:fldChar w:fldCharType="begin"/>
          </w:r>
          <w:r>
            <w:rPr>
              <w:rFonts w:hint="default" w:ascii="Times New Roman" w:hAnsi="Times New Roman" w:cs="Times New Roman"/>
              <w:b/>
              <w:sz w:val="32"/>
              <w:szCs w:val="32"/>
            </w:rPr>
            <w:instrText xml:space="preserve"> PAGEREF _Toc26863 \h </w:instrText>
          </w:r>
          <w:r>
            <w:rPr>
              <w:rFonts w:hint="default" w:ascii="Times New Roman" w:hAnsi="Times New Roman" w:cs="Times New Roman"/>
              <w:b/>
              <w:sz w:val="32"/>
              <w:szCs w:val="32"/>
            </w:rPr>
            <w:fldChar w:fldCharType="separate"/>
          </w:r>
          <w:r>
            <w:rPr>
              <w:rFonts w:hint="default" w:ascii="Times New Roman" w:hAnsi="Times New Roman" w:cs="Times New Roman"/>
              <w:b/>
              <w:sz w:val="32"/>
              <w:szCs w:val="32"/>
            </w:rPr>
            <w:t>47</w:t>
          </w:r>
          <w:r>
            <w:rPr>
              <w:rFonts w:hint="default" w:ascii="Times New Roman" w:hAnsi="Times New Roman" w:cs="Times New Roman"/>
              <w:b/>
              <w:sz w:val="32"/>
              <w:szCs w:val="32"/>
            </w:rPr>
            <w:fldChar w:fldCharType="end"/>
          </w:r>
          <w:r>
            <w:rPr>
              <w:rFonts w:hint="default" w:ascii="Times New Roman" w:hAnsi="Times New Roman" w:cs="Times New Roman"/>
              <w:b/>
              <w:sz w:val="32"/>
              <w:szCs w:val="32"/>
            </w:rPr>
            <w:fldChar w:fldCharType="end"/>
          </w:r>
        </w:p>
        <w:p w14:paraId="06B75FEF">
          <w:pPr>
            <w:pStyle w:val="25"/>
            <w:tabs>
              <w:tab w:val="right" w:leader="dot" w:pos="8306"/>
            </w:tabs>
            <w:rPr>
              <w:rFonts w:hint="default" w:ascii="Times New Roman" w:hAnsi="Times New Roman" w:cs="Times New Roman"/>
            </w:rPr>
          </w:pPr>
        </w:p>
        <w:p w14:paraId="56ACB160">
          <w:pPr>
            <w:rPr>
              <w:rFonts w:hint="default" w:ascii="Times New Roman" w:hAnsi="Times New Roman" w:cs="Times New Roman"/>
              <w:b/>
            </w:rPr>
          </w:pPr>
          <w:r>
            <w:rPr>
              <w:rFonts w:hint="default" w:ascii="Times New Roman" w:hAnsi="Times New Roman" w:cs="Times New Roman"/>
              <w:b/>
            </w:rPr>
            <w:fldChar w:fldCharType="end"/>
          </w:r>
        </w:p>
      </w:sdtContent>
    </w:sdt>
    <w:p w14:paraId="053AAAE1">
      <w:pPr>
        <w:rPr>
          <w:rFonts w:hint="default" w:ascii="Times New Roman" w:hAnsi="Times New Roman" w:cs="Times New Roman"/>
          <w:b/>
        </w:rPr>
      </w:pPr>
    </w:p>
    <w:p w14:paraId="3080330D">
      <w:pPr>
        <w:rPr>
          <w:rFonts w:hint="default" w:ascii="Times New Roman" w:hAnsi="Times New Roman" w:cs="Times New Roman"/>
          <w:b/>
        </w:rPr>
      </w:pPr>
    </w:p>
    <w:p w14:paraId="598A4082">
      <w:pPr>
        <w:rPr>
          <w:rFonts w:hint="default" w:ascii="Times New Roman" w:hAnsi="Times New Roman" w:cs="Times New Roman"/>
          <w:b/>
        </w:rPr>
      </w:pPr>
    </w:p>
    <w:p w14:paraId="31F3AF90">
      <w:pPr>
        <w:rPr>
          <w:rFonts w:hint="default" w:ascii="Times New Roman" w:hAnsi="Times New Roman" w:cs="Times New Roman"/>
          <w:b/>
        </w:rPr>
      </w:pPr>
    </w:p>
    <w:p w14:paraId="3A776690">
      <w:pPr>
        <w:pStyle w:val="3"/>
        <w:pageBreakBefore w:val="0"/>
        <w:numPr>
          <w:ilvl w:val="0"/>
          <w:numId w:val="1"/>
        </w:numPr>
        <w:kinsoku/>
        <w:wordWrap/>
        <w:overflowPunct/>
        <w:topLinePunct w:val="0"/>
        <w:autoSpaceDE/>
        <w:autoSpaceDN/>
        <w:bidi w:val="0"/>
        <w:spacing w:beforeLines="0" w:afterLines="0" w:line="480" w:lineRule="exact"/>
        <w:textAlignment w:val="auto"/>
        <w:rPr>
          <w:rFonts w:hint="default" w:ascii="Times New Roman" w:hAnsi="Times New Roman" w:eastAsia="方正小标宋_GBK" w:cs="Times New Roman"/>
          <w:sz w:val="44"/>
          <w:szCs w:val="44"/>
          <w:lang w:val="en-US" w:eastAsia="zh-CN"/>
        </w:rPr>
      </w:pPr>
      <w:bookmarkStart w:id="0" w:name="_Toc1926"/>
      <w:r>
        <w:rPr>
          <w:rFonts w:hint="default" w:ascii="Times New Roman" w:hAnsi="Times New Roman" w:eastAsia="方正小标宋_GBK" w:cs="Times New Roman"/>
          <w:sz w:val="44"/>
          <w:szCs w:val="44"/>
          <w:lang w:val="en-US" w:eastAsia="zh-CN"/>
        </w:rPr>
        <w:t>询价公告</w:t>
      </w:r>
      <w:bookmarkEnd w:id="0"/>
    </w:p>
    <w:p w14:paraId="22FC29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14:paraId="1C427626">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30</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bookmarkStart w:id="182" w:name="_GoBack"/>
      <w:bookmarkEnd w:id="182"/>
    </w:p>
    <w:p w14:paraId="0E78B43A">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 w:name="_Toc2201"/>
      <w:r>
        <w:rPr>
          <w:rFonts w:hint="default" w:ascii="Times New Roman" w:hAnsi="Times New Roman" w:cs="Times New Roman"/>
          <w:lang w:val="en-US" w:eastAsia="zh-CN"/>
        </w:rPr>
        <w:t>一、项目基本情况</w:t>
      </w:r>
      <w:bookmarkEnd w:id="1"/>
    </w:p>
    <w:p w14:paraId="6A1D82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w:t>
      </w:r>
      <w:r>
        <w:rPr>
          <w:rFonts w:hint="eastAsia" w:ascii="Times New Roman" w:hAnsi="Times New Roman" w:cs="Times New Roman"/>
          <w:b w:val="0"/>
          <w:bCs w:val="0"/>
          <w:color w:val="auto"/>
          <w:sz w:val="32"/>
          <w:szCs w:val="32"/>
          <w:u w:val="none" w:color="auto"/>
          <w:lang w:val="en-US" w:eastAsia="zh-CN"/>
        </w:rPr>
        <w:t>DLZEYZCB-2025-05</w:t>
      </w:r>
    </w:p>
    <w:p w14:paraId="27865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w:t>
      </w:r>
    </w:p>
    <w:p w14:paraId="4CD39D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自行采购</w:t>
      </w:r>
      <w:r>
        <w:rPr>
          <w:rFonts w:hint="default" w:ascii="Times New Roman" w:hAnsi="Times New Roman" w:eastAsia="方正仿宋_GBK" w:cs="Times New Roman"/>
          <w:b w:val="0"/>
          <w:bCs w:val="0"/>
          <w:color w:val="auto"/>
          <w:sz w:val="32"/>
          <w:szCs w:val="32"/>
          <w:u w:val="none" w:color="auto"/>
          <w:lang w:val="en-US" w:eastAsia="zh-CN"/>
        </w:rPr>
        <w:t>）</w:t>
      </w:r>
    </w:p>
    <w:p w14:paraId="5E041F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1.4 预算</w:t>
      </w:r>
      <w:r>
        <w:rPr>
          <w:rFonts w:hint="default" w:ascii="Times New Roman" w:hAnsi="Times New Roman" w:cs="Times New Roman"/>
          <w:b w:val="0"/>
          <w:bCs w:val="0"/>
          <w:color w:val="auto"/>
          <w:sz w:val="32"/>
          <w:szCs w:val="32"/>
          <w:u w:val="none" w:color="auto"/>
          <w:lang w:val="en-US" w:eastAsia="zh-CN"/>
        </w:rPr>
        <w:t>单价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详见第五章采购需求</w:t>
      </w:r>
    </w:p>
    <w:p w14:paraId="7E8DE5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1.5 最高限价</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b w:val="0"/>
          <w:bCs w:val="0"/>
          <w:color w:val="auto"/>
          <w:sz w:val="32"/>
          <w:szCs w:val="32"/>
          <w:u w:val="none" w:color="auto"/>
          <w:lang w:val="en-US" w:eastAsia="zh-CN"/>
        </w:rPr>
        <w:t>不超过最高预算控制单价</w:t>
      </w:r>
    </w:p>
    <w:p w14:paraId="4D9FD7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6</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14:paraId="6A94B3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14:paraId="58FFFC0F">
      <w:pPr>
        <w:spacing w:line="554" w:lineRule="exact"/>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服务</w:t>
      </w:r>
      <w:r>
        <w:rPr>
          <w:rFonts w:hint="eastAsia" w:ascii="Times New Roman" w:hAnsi="Times New Roman" w:cs="Times New Roman"/>
          <w:b w:val="0"/>
          <w:bCs w:val="0"/>
          <w:color w:val="auto"/>
          <w:sz w:val="32"/>
          <w:szCs w:val="32"/>
          <w:u w:val="none" w:color="auto"/>
          <w:lang w:val="en-US" w:eastAsia="zh-CN"/>
        </w:rPr>
        <w:t>期限</w:t>
      </w:r>
      <w:r>
        <w:rPr>
          <w:rFonts w:hint="default" w:ascii="Times New Roman" w:hAnsi="Times New Roman" w:eastAsia="方正仿宋_GBK" w:cs="Times New Roman"/>
          <w:b w:val="0"/>
          <w:bCs w:val="0"/>
          <w:color w:val="auto"/>
          <w:sz w:val="32"/>
          <w:szCs w:val="32"/>
          <w:u w:val="none" w:color="auto"/>
          <w:lang w:val="en-US" w:eastAsia="zh-CN"/>
        </w:rPr>
        <w:t>：两年，合同一年一签。在签订第二年合同前，双方须就供货单价重新进行协商谈判，且新签订的供货单价不得高于上一年度供货单价。若在合同履行期间出现上级政策调整（如集采政策发布等情况），则以最新上级政策规定为准，优先遵照执行。</w:t>
      </w:r>
    </w:p>
    <w:p w14:paraId="64A606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14:paraId="7AE6A030">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14:paraId="3909B8A6">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14:paraId="55847CE5">
      <w:pPr>
        <w:pStyle w:val="2"/>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供货</w:t>
      </w:r>
      <w:r>
        <w:rPr>
          <w:rFonts w:hint="default" w:ascii="Times New Roman" w:hAnsi="Times New Roman" w:eastAsia="方正仿宋_GBK" w:cs="Times New Roman"/>
          <w:b w:val="0"/>
          <w:bCs w:val="0"/>
          <w:color w:val="auto"/>
          <w:sz w:val="32"/>
          <w:szCs w:val="32"/>
          <w:u w:val="none" w:color="auto"/>
          <w:lang w:val="en-US" w:eastAsia="zh-CN"/>
        </w:rPr>
        <w:t>地点：大理州第二人民医院指定地点</w:t>
      </w:r>
    </w:p>
    <w:p w14:paraId="0DE768B6">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2" w:name="_Toc7642"/>
      <w:r>
        <w:rPr>
          <w:rFonts w:hint="default" w:ascii="Times New Roman" w:hAnsi="Times New Roman" w:cs="Times New Roman"/>
          <w:lang w:val="en-US" w:eastAsia="zh-CN"/>
        </w:rPr>
        <w:t>二、申请人的资格要求</w:t>
      </w:r>
      <w:bookmarkEnd w:id="2"/>
    </w:p>
    <w:p w14:paraId="6DD57D06">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2.1 具有独立承担民事责任的能力，持有工商行政管理部门核发的营业执照的法人或其他组织（提供营业执照扫描件）</w:t>
      </w:r>
      <w:r>
        <w:rPr>
          <w:rFonts w:hint="default" w:ascii="Times New Roman" w:hAnsi="Times New Roman" w:cs="Times New Roman"/>
          <w:b w:val="0"/>
          <w:bCs w:val="0"/>
          <w:color w:val="auto"/>
          <w:kern w:val="2"/>
          <w:sz w:val="32"/>
          <w:szCs w:val="32"/>
          <w:u w:val="none" w:color="auto"/>
          <w:lang w:val="en-US" w:eastAsia="zh-CN" w:bidi="ar-SA"/>
        </w:rPr>
        <w:t>；</w:t>
      </w:r>
    </w:p>
    <w:p w14:paraId="1F98161F">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供应商具有依法缴纳税收的良好记录（须提供缴税所属时间在202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5A909E63">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.3供应商具有依法缴纳社会保障资金的良好记录（须提供缴费所属时间在202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14:paraId="6839615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2.4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p w14:paraId="43E93BEE">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信誉要求：提供投标人未被列入“信用中国”网站（www.creditchina.gov.cn）“失信被执行人、政府采购严重违法失信行为记录名单、重大税收违法失信主体”及中国政府采购网（www.ccgp.gov.cn）“政府采购严重违法失信行为信息记录”</w:t>
      </w:r>
      <w:r>
        <w:rPr>
          <w:rFonts w:hint="default" w:ascii="Times New Roman" w:hAnsi="Times New Roman" w:cs="Times New Roman"/>
          <w:b w:val="0"/>
          <w:bCs w:val="0"/>
          <w:color w:val="auto"/>
          <w:kern w:val="2"/>
          <w:sz w:val="32"/>
          <w:szCs w:val="32"/>
          <w:u w:val="none" w:color="auto"/>
          <w:lang w:val="en-US" w:eastAsia="zh-CN" w:bidi="ar-SA"/>
        </w:rPr>
        <w:t>；</w:t>
      </w:r>
    </w:p>
    <w:p w14:paraId="27FBC47E">
      <w:pPr>
        <w:pStyle w:val="9"/>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（格式自拟）；</w:t>
      </w:r>
    </w:p>
    <w:p w14:paraId="15455BAB">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单位负责人为同一人或者存在控股、管理关系的不同单位，不得同时参加同一合同项下的采购活动。提供“证明材料或书面声明函（格式自拟）；</w:t>
      </w:r>
    </w:p>
    <w:p w14:paraId="657F7AC9">
      <w:pPr>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14:paraId="68DB3ECB">
      <w:pPr>
        <w:pStyle w:val="4"/>
        <w:pageBreakBefore w:val="0"/>
        <w:numPr>
          <w:ilvl w:val="0"/>
          <w:numId w:val="2"/>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3" w:name="_Toc9821"/>
      <w:r>
        <w:rPr>
          <w:rFonts w:hint="default" w:ascii="Times New Roman" w:hAnsi="Times New Roman" w:cs="Times New Roman"/>
          <w:lang w:val="en-US" w:eastAsia="zh-CN"/>
        </w:rPr>
        <w:t>采购文件获取</w:t>
      </w:r>
      <w:bookmarkEnd w:id="3"/>
    </w:p>
    <w:p w14:paraId="7E969E6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14:paraId="36173EE3">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4" w:name="_Toc16114"/>
      <w:r>
        <w:rPr>
          <w:rFonts w:hint="default" w:ascii="Times New Roman" w:hAnsi="Times New Roman" w:cs="Times New Roman"/>
          <w:lang w:val="en-US" w:eastAsia="zh-CN"/>
        </w:rPr>
        <w:t>四、报名时间、方式及注意事项</w:t>
      </w:r>
      <w:bookmarkEnd w:id="4"/>
    </w:p>
    <w:p w14:paraId="3843FED1">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w:t>
      </w:r>
      <w:r>
        <w:rPr>
          <w:rFonts w:hint="default" w:ascii="Times New Roman" w:hAnsi="Times New Roman" w:cs="Times New Roman"/>
          <w:b w:val="0"/>
          <w:bCs w:val="0"/>
          <w:color w:val="auto"/>
          <w:kern w:val="2"/>
          <w:sz w:val="32"/>
          <w:szCs w:val="32"/>
          <w:u w:val="non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22</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cs="Times New Roman"/>
          <w:b w:val="0"/>
          <w:bCs w:val="0"/>
          <w:color w:val="auto"/>
          <w:kern w:val="2"/>
          <w:sz w:val="32"/>
          <w:szCs w:val="32"/>
          <w:u w:val="singl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25</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p>
    <w:p w14:paraId="3609676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w:t>
      </w:r>
      <w:bookmarkStart w:id="5" w:name="OLE_LINK1"/>
      <w:r>
        <w:rPr>
          <w:rFonts w:hint="default" w:ascii="Times New Roman" w:hAnsi="Times New Roman" w:eastAsia="方正仿宋_GBK" w:cs="Times New Roman"/>
          <w:b w:val="0"/>
          <w:bCs w:val="0"/>
          <w:color w:val="auto"/>
          <w:kern w:val="2"/>
          <w:sz w:val="32"/>
          <w:szCs w:val="32"/>
          <w:u w:val="none" w:color="auto"/>
          <w:lang w:val="en-US" w:eastAsia="zh-CN" w:bidi="ar-SA"/>
        </w:rPr>
        <w:t>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p>
    <w:bookmarkEnd w:id="5"/>
    <w:p w14:paraId="77C55469">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4.3 注意事项：不接受现场报名，未按规定时间提交报名材料的供应商（生产厂家）不得参与该项目采购活动。</w:t>
      </w:r>
    </w:p>
    <w:p w14:paraId="3050F6CA">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6" w:name="_Toc530931366"/>
      <w:bookmarkStart w:id="7" w:name="_Toc4142306"/>
      <w:bookmarkStart w:id="8" w:name="_Toc531034890"/>
      <w:bookmarkStart w:id="9" w:name="_Toc530930084"/>
      <w:bookmarkStart w:id="10" w:name="_Toc530932165"/>
      <w:bookmarkStart w:id="11" w:name="_Toc32264"/>
      <w:r>
        <w:rPr>
          <w:rFonts w:hint="default" w:ascii="Times New Roman" w:hAnsi="Times New Roman" w:cs="Times New Roman"/>
          <w:lang w:val="en-US" w:eastAsia="zh-CN"/>
        </w:rPr>
        <w:t>五、</w:t>
      </w:r>
      <w:bookmarkEnd w:id="6"/>
      <w:bookmarkEnd w:id="7"/>
      <w:bookmarkEnd w:id="8"/>
      <w:bookmarkEnd w:id="9"/>
      <w:bookmarkEnd w:id="10"/>
      <w:r>
        <w:rPr>
          <w:rFonts w:hint="default" w:ascii="Times New Roman" w:hAnsi="Times New Roman" w:cs="Times New Roman"/>
          <w:lang w:val="en-US" w:eastAsia="zh-CN"/>
        </w:rPr>
        <w:t>提交询价响应文件截止时间、开标时间和地点</w:t>
      </w:r>
      <w:bookmarkEnd w:id="11"/>
    </w:p>
    <w:p w14:paraId="54729195">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cs="Times New Roman"/>
          <w:b w:val="0"/>
          <w:bCs w:val="0"/>
          <w:color w:val="auto"/>
          <w:kern w:val="2"/>
          <w:sz w:val="32"/>
          <w:szCs w:val="32"/>
          <w:u w:val="single" w:color="auto"/>
          <w:lang w:val="en-US" w:eastAsia="zh-CN" w:bidi="ar-SA"/>
        </w:rPr>
        <w:t>2025</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30</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30</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14:paraId="00C6C36D">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14:paraId="27444D66">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2" w:name="_Toc2227"/>
      <w:r>
        <w:rPr>
          <w:rFonts w:hint="default" w:ascii="Times New Roman" w:hAnsi="Times New Roman" w:cs="Times New Roman"/>
          <w:lang w:val="en-US" w:eastAsia="zh-CN"/>
        </w:rPr>
        <w:t>六、采购信息发布媒介</w:t>
      </w:r>
      <w:bookmarkEnd w:id="12"/>
    </w:p>
    <w:p w14:paraId="0499CFD1">
      <w:pPr>
        <w:pStyle w:val="14"/>
        <w:keepNext w:val="0"/>
        <w:keepLines w:val="0"/>
        <w:pageBreakBefore w:val="0"/>
        <w:kinsoku/>
        <w:wordWrap/>
        <w:overflowPunct/>
        <w:topLinePunct w:val="0"/>
        <w:autoSpaceDE/>
        <w:autoSpaceDN/>
        <w:bidi w:val="0"/>
        <w:spacing w:before="0" w:beforeAutospacing="0" w:after="0" w:afterAutospacing="0" w:line="480" w:lineRule="exact"/>
        <w:ind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3" w:name="OLE_LINK5"/>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t>
      </w:r>
      <w:r>
        <w:rPr>
          <w:rFonts w:hint="eastAsia" w:ascii="Times New Roman" w:hAnsi="Times New Roman" w:cs="Times New Roman"/>
          <w:b w:val="0"/>
          <w:bCs w:val="0"/>
          <w:color w:val="auto"/>
          <w:kern w:val="2"/>
          <w:sz w:val="32"/>
          <w:szCs w:val="32"/>
          <w:u w:val="none" w:color="auto"/>
          <w:lang w:val="en-US" w:eastAsia="zh-CN" w:bidi="ar-SA"/>
        </w:rPr>
        <w:t>s</w:t>
      </w:r>
      <w:r>
        <w:rPr>
          <w:rFonts w:hint="default" w:ascii="Times New Roman" w:hAnsi="Times New Roman" w:eastAsia="方正仿宋_GBK" w:cs="Times New Roman"/>
          <w:b w:val="0"/>
          <w:bCs w:val="0"/>
          <w:color w:val="auto"/>
          <w:kern w:val="2"/>
          <w:sz w:val="32"/>
          <w:szCs w:val="32"/>
          <w:u w:val="none" w:color="auto"/>
          <w:lang w:val="en-US" w:eastAsia="zh-CN" w:bidi="ar-SA"/>
        </w:rPr>
        <w:t>://www.dlzdermyy.com/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w:t>
      </w:r>
      <w:bookmarkEnd w:id="13"/>
      <w:r>
        <w:rPr>
          <w:rFonts w:hint="default" w:ascii="Times New Roman" w:hAnsi="Times New Roman" w:cs="Times New Roman"/>
          <w:b w:val="0"/>
          <w:bCs w:val="0"/>
          <w:color w:val="auto"/>
          <w:kern w:val="2"/>
          <w:sz w:val="32"/>
          <w:szCs w:val="32"/>
          <w:u w:val="none" w:color="auto"/>
          <w:lang w:val="en-US" w:eastAsia="zh-CN" w:bidi="ar-SA"/>
        </w:rPr>
        <w:t>及中国招标投标公共服务平台</w:t>
      </w:r>
      <w:r>
        <w:rPr>
          <w:rFonts w:hint="default" w:ascii="Times New Roman" w:hAnsi="Times New Roman" w:eastAsia="方正仿宋_GBK" w:cs="Times New Roman"/>
          <w:b w:val="0"/>
          <w:bCs w:val="0"/>
          <w:color w:val="auto"/>
          <w:kern w:val="2"/>
          <w:sz w:val="32"/>
          <w:szCs w:val="32"/>
          <w:u w:val="none" w:color="auto"/>
          <w:lang w:val="en-US" w:eastAsia="zh-CN" w:bidi="ar-SA"/>
        </w:rPr>
        <w:t>。</w:t>
      </w:r>
    </w:p>
    <w:p w14:paraId="7A42A4A9">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4" w:name="_Toc10647"/>
      <w:r>
        <w:rPr>
          <w:rFonts w:hint="default" w:ascii="Times New Roman" w:hAnsi="Times New Roman" w:cs="Times New Roman"/>
          <w:lang w:val="en-US" w:eastAsia="zh-CN"/>
        </w:rPr>
        <w:t>七、公告期限</w:t>
      </w:r>
      <w:bookmarkEnd w:id="14"/>
    </w:p>
    <w:p w14:paraId="09F1E2E9">
      <w:pPr>
        <w:pStyle w:val="14"/>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14:paraId="40A59C95">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5" w:name="_Toc31278"/>
      <w:r>
        <w:rPr>
          <w:rFonts w:hint="default" w:ascii="Times New Roman" w:hAnsi="Times New Roman" w:cs="Times New Roman"/>
          <w:lang w:val="en-US" w:eastAsia="zh-CN"/>
        </w:rPr>
        <w:t>八、收费标准</w:t>
      </w:r>
      <w:bookmarkEnd w:id="15"/>
    </w:p>
    <w:p w14:paraId="7BC75C0A">
      <w:pPr>
        <w:pStyle w:val="14"/>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14:paraId="3C778499">
      <w:pPr>
        <w:pStyle w:val="4"/>
        <w:pageBreakBefore w:val="0"/>
        <w:numPr>
          <w:ilvl w:val="0"/>
          <w:numId w:val="3"/>
        </w:numPr>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6" w:name="_Toc19667"/>
      <w:r>
        <w:rPr>
          <w:rFonts w:hint="default" w:ascii="Times New Roman" w:hAnsi="Times New Roman" w:cs="Times New Roman"/>
          <w:lang w:val="en-US" w:eastAsia="zh-CN"/>
        </w:rPr>
        <w:t>其他补充事宜</w:t>
      </w:r>
      <w:bookmarkEnd w:id="16"/>
    </w:p>
    <w:p w14:paraId="53768FF0">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9.1本项目为据实结算，投标人根据第</w:t>
      </w:r>
      <w:r>
        <w:rPr>
          <w:rFonts w:hint="default" w:ascii="Times New Roman" w:hAnsi="Times New Roman" w:cs="Times New Roman"/>
          <w:b w:val="0"/>
          <w:bCs w:val="0"/>
          <w:color w:val="auto"/>
          <w:kern w:val="2"/>
          <w:sz w:val="32"/>
          <w:szCs w:val="32"/>
          <w:u w:val="none" w:color="auto"/>
          <w:lang w:val="en-US" w:eastAsia="zh-CN" w:bidi="ar-SA"/>
        </w:rPr>
        <w:t>五</w:t>
      </w:r>
      <w:r>
        <w:rPr>
          <w:rFonts w:hint="default" w:ascii="Times New Roman" w:hAnsi="Times New Roman" w:eastAsia="方正仿宋_GBK" w:cs="Times New Roman"/>
          <w:b w:val="0"/>
          <w:bCs w:val="0"/>
          <w:color w:val="auto"/>
          <w:kern w:val="2"/>
          <w:sz w:val="32"/>
          <w:szCs w:val="32"/>
          <w:u w:val="none" w:color="auto"/>
          <w:lang w:val="en-US" w:eastAsia="zh-CN" w:bidi="ar-SA"/>
        </w:rPr>
        <w:t>章采购需求统一填报下浮率。</w:t>
      </w:r>
    </w:p>
    <w:p w14:paraId="60E63417">
      <w:pPr>
        <w:keepNext w:val="0"/>
        <w:keepLines w:val="0"/>
        <w:pageBreakBefore w:val="0"/>
        <w:widowControl w:val="0"/>
        <w:kinsoku/>
        <w:wordWrap/>
        <w:overflowPunct/>
        <w:topLinePunct w:val="0"/>
        <w:autoSpaceDE/>
        <w:autoSpaceDN/>
        <w:bidi w:val="0"/>
        <w:adjustRightInd w:val="0"/>
        <w:snapToGrid w:val="0"/>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其他未尽事宜详见询价采购文件。</w:t>
      </w:r>
    </w:p>
    <w:p w14:paraId="051860C7">
      <w:pPr>
        <w:pStyle w:val="4"/>
        <w:pageBreakBefore w:val="0"/>
        <w:kinsoku/>
        <w:wordWrap/>
        <w:overflowPunct/>
        <w:topLinePunct w:val="0"/>
        <w:autoSpaceDE/>
        <w:autoSpaceDN/>
        <w:bidi w:val="0"/>
        <w:spacing w:line="480" w:lineRule="exact"/>
        <w:textAlignment w:val="auto"/>
        <w:rPr>
          <w:rFonts w:hint="default" w:ascii="Times New Roman" w:hAnsi="Times New Roman" w:eastAsia="方正仿宋_GBK" w:cs="Times New Roman"/>
          <w:szCs w:val="32"/>
          <w:lang w:val="en-US" w:eastAsia="zh-CN"/>
        </w:rPr>
      </w:pPr>
      <w:bookmarkStart w:id="17" w:name="_Toc11542"/>
      <w:r>
        <w:rPr>
          <w:rFonts w:hint="default" w:ascii="Times New Roman" w:hAnsi="Times New Roman" w:cs="Times New Roman"/>
          <w:lang w:val="en-US" w:eastAsia="zh-CN"/>
        </w:rPr>
        <w:t>十、对本次采购提出询问请按以下方式联系</w:t>
      </w:r>
      <w:bookmarkEnd w:id="17"/>
    </w:p>
    <w:p w14:paraId="5373AF91">
      <w:pPr>
        <w:pStyle w:val="2"/>
        <w:keepNext w:val="0"/>
        <w:keepLines w:val="0"/>
        <w:pageBreakBefore w:val="0"/>
        <w:numPr>
          <w:ilvl w:val="0"/>
          <w:numId w:val="0"/>
        </w:numPr>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14:paraId="14CD2920">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12BD3C25">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14:paraId="4E91912F">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14:paraId="5A1BCCBE">
      <w:pPr>
        <w:pStyle w:val="4"/>
        <w:pageBreakBefore w:val="0"/>
        <w:kinsoku/>
        <w:wordWrap/>
        <w:overflowPunct/>
        <w:topLinePunct w:val="0"/>
        <w:autoSpaceDE/>
        <w:autoSpaceDN/>
        <w:bidi w:val="0"/>
        <w:spacing w:line="480" w:lineRule="exact"/>
        <w:textAlignment w:val="auto"/>
        <w:rPr>
          <w:rFonts w:hint="default" w:ascii="Times New Roman" w:hAnsi="Times New Roman" w:cs="Times New Roman"/>
          <w:lang w:val="en-US" w:eastAsia="zh-CN"/>
        </w:rPr>
      </w:pPr>
      <w:bookmarkStart w:id="18" w:name="_Toc21354"/>
      <w:r>
        <w:rPr>
          <w:rFonts w:hint="default" w:ascii="Times New Roman" w:hAnsi="Times New Roman" w:cs="Times New Roman"/>
          <w:lang w:val="en-US" w:eastAsia="zh-CN"/>
        </w:rPr>
        <w:t>十一、监督机构信息</w:t>
      </w:r>
      <w:bookmarkEnd w:id="18"/>
    </w:p>
    <w:p w14:paraId="64CE152F">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纪委办公室</w:t>
      </w:r>
    </w:p>
    <w:p w14:paraId="5F35E7F5">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14:paraId="7B1D05FC">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w:t>
      </w:r>
      <w:r>
        <w:rPr>
          <w:rFonts w:hint="eastAsia" w:ascii="Times New Roman" w:hAnsi="Times New Roman" w:cs="Times New Roman"/>
          <w:b w:val="0"/>
          <w:bCs w:val="0"/>
          <w:color w:val="auto"/>
          <w:kern w:val="2"/>
          <w:sz w:val="32"/>
          <w:szCs w:val="32"/>
          <w:u w:val="none" w:color="auto"/>
          <w:lang w:val="en-US" w:eastAsia="zh-CN" w:bidi="ar-SA"/>
        </w:rPr>
        <w:t>25752</w:t>
      </w:r>
    </w:p>
    <w:p w14:paraId="1B666690">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4C31B5AB">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776399AA">
      <w:pPr>
        <w:rPr>
          <w:rFonts w:hint="default" w:ascii="Times New Roman" w:hAnsi="Times New Roman" w:cs="Times New Roman"/>
          <w:lang w:val="en-US" w:eastAsia="zh-CN"/>
        </w:rPr>
      </w:pPr>
    </w:p>
    <w:p w14:paraId="20134988">
      <w:pPr>
        <w:pStyle w:val="2"/>
        <w:rPr>
          <w:rFonts w:hint="default" w:ascii="Times New Roman" w:hAnsi="Times New Roman" w:cs="Times New Roman"/>
          <w:lang w:val="en-US" w:eastAsia="zh-CN"/>
        </w:rPr>
      </w:pPr>
    </w:p>
    <w:p w14:paraId="233229A2">
      <w:pPr>
        <w:rPr>
          <w:rFonts w:hint="default" w:ascii="Times New Roman" w:hAnsi="Times New Roman" w:cs="Times New Roman"/>
          <w:lang w:val="en-US" w:eastAsia="zh-CN"/>
        </w:rPr>
      </w:pPr>
    </w:p>
    <w:p w14:paraId="6F3D5A30">
      <w:pPr>
        <w:pStyle w:val="3"/>
        <w:numPr>
          <w:ilvl w:val="0"/>
          <w:numId w:val="1"/>
        </w:numPr>
        <w:bidi w:val="0"/>
        <w:rPr>
          <w:rFonts w:hint="default" w:ascii="Times New Roman" w:hAnsi="Times New Roman" w:eastAsia="方正小标宋_GBK" w:cs="Times New Roman"/>
          <w:sz w:val="44"/>
          <w:szCs w:val="44"/>
          <w:lang w:val="en-US" w:eastAsia="zh-CN"/>
        </w:rPr>
      </w:pPr>
      <w:bookmarkStart w:id="19" w:name="_Toc23552"/>
      <w:r>
        <w:rPr>
          <w:rFonts w:hint="default" w:ascii="Times New Roman" w:hAnsi="Times New Roman" w:eastAsia="方正小标宋_GBK" w:cs="Times New Roman"/>
          <w:sz w:val="44"/>
          <w:szCs w:val="44"/>
          <w:lang w:val="en-US" w:eastAsia="zh-CN"/>
        </w:rPr>
        <w:t>供应商须知</w:t>
      </w:r>
      <w:bookmarkEnd w:id="19"/>
    </w:p>
    <w:p w14:paraId="1BC6B060">
      <w:pPr>
        <w:pStyle w:val="4"/>
        <w:bidi w:val="0"/>
        <w:rPr>
          <w:rFonts w:hint="default" w:ascii="Times New Roman" w:hAnsi="Times New Roman" w:cs="Times New Roman"/>
        </w:rPr>
      </w:pPr>
      <w:bookmarkStart w:id="20" w:name="_Toc1433"/>
      <w:bookmarkStart w:id="21" w:name="_Toc7353"/>
      <w:r>
        <w:rPr>
          <w:rFonts w:hint="default" w:ascii="Times New Roman" w:hAnsi="Times New Roman" w:cs="Times New Roman"/>
        </w:rPr>
        <w:t>供应商须知前附表</w:t>
      </w:r>
      <w:bookmarkEnd w:id="20"/>
      <w:bookmarkEnd w:id="21"/>
    </w:p>
    <w:tbl>
      <w:tblPr>
        <w:tblStyle w:val="15"/>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14:paraId="15CC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34B7E4">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14:paraId="79E9EDCA">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14:paraId="5F5562D1">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14:paraId="1D86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14:paraId="6E3CE2CB">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14:paraId="1C78C4F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14:paraId="4B0BCD61">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14:paraId="365BD3E9">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14:paraId="34DA31F1">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14:paraId="33D4A070">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14:paraId="7FABEA3D">
            <w:pPr>
              <w:pStyle w:val="10"/>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14:paraId="61B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4E71C599">
            <w:pPr>
              <w:keepNext w:val="0"/>
              <w:keepLines w:val="0"/>
              <w:pageBreakBefore w:val="0"/>
              <w:widowControl/>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14:paraId="19DE2CF1">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14:paraId="44B93D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eastAsia" w:ascii="Times New Roman" w:hAnsi="Times New Roman" w:cs="Times New Roman"/>
                <w:b w:val="0"/>
                <w:bCs w:val="0"/>
                <w:color w:val="auto"/>
                <w:sz w:val="32"/>
                <w:szCs w:val="32"/>
                <w:u w:val="none" w:color="auto"/>
                <w:lang w:val="en-US" w:eastAsia="zh-CN"/>
              </w:rPr>
              <w:t>大理州第二人民医院2025年药物基因检测试剂耗材采购项目</w:t>
            </w:r>
          </w:p>
          <w:p w14:paraId="435F569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DLZEYZCB-2025-05</w:t>
            </w:r>
          </w:p>
        </w:tc>
      </w:tr>
      <w:tr w14:paraId="4483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BCC2B3F">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14:paraId="1BAFF024">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14:paraId="7844C143">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14:paraId="2EC10759">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w:t>
            </w:r>
            <w:r>
              <w:rPr>
                <w:rFonts w:hint="default" w:ascii="Times New Roman" w:hAnsi="Times New Roman" w:cs="Times New Roman"/>
                <w:color w:val="000000" w:themeColor="text1"/>
                <w:sz w:val="32"/>
                <w:szCs w:val="32"/>
                <w:lang w:val="en-US" w:eastAsia="zh-CN"/>
                <w14:textFill>
                  <w14:solidFill>
                    <w14:schemeClr w14:val="tx1"/>
                  </w14:solidFill>
                </w14:textFill>
              </w:rPr>
              <w:t>预算单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最高限价</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b w:val="0"/>
                <w:bCs w:val="0"/>
                <w:color w:val="auto"/>
                <w:sz w:val="32"/>
                <w:szCs w:val="32"/>
                <w:u w:val="none" w:color="auto"/>
                <w:lang w:val="en-US" w:eastAsia="zh-CN"/>
              </w:rPr>
              <w:t>不超过最高预算控制单价</w:t>
            </w:r>
            <w:r>
              <w:rPr>
                <w:rFonts w:hint="default" w:ascii="Times New Roman" w:hAnsi="Times New Roman" w:cs="Times New Roman"/>
                <w:color w:val="000000" w:themeColor="text1"/>
                <w:sz w:val="32"/>
                <w:szCs w:val="32"/>
                <w:lang w:val="en-US" w:eastAsia="zh-CN"/>
                <w14:textFill>
                  <w14:solidFill>
                    <w14:schemeClr w14:val="tx1"/>
                  </w14:solidFill>
                </w14:textFill>
              </w:rPr>
              <w:t>，否则按无效投标处理。</w:t>
            </w:r>
          </w:p>
        </w:tc>
      </w:tr>
      <w:tr w14:paraId="616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A2FD92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14:paraId="014F004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14:paraId="3CD49BFE">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14:paraId="21B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FD8B85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14:paraId="252185DC">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14:paraId="489DF9A6">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14:paraId="612E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378A58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14:paraId="5F171C6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供货要求</w:t>
            </w:r>
          </w:p>
        </w:tc>
        <w:tc>
          <w:tcPr>
            <w:tcW w:w="6985" w:type="dxa"/>
            <w:tcBorders>
              <w:top w:val="single" w:color="auto" w:sz="4" w:space="0"/>
              <w:left w:val="single" w:color="auto" w:sz="4" w:space="0"/>
              <w:bottom w:val="single" w:color="auto" w:sz="4" w:space="0"/>
              <w:right w:val="single" w:color="auto" w:sz="4" w:space="0"/>
            </w:tcBorders>
            <w:vAlign w:val="center"/>
          </w:tcPr>
          <w:p w14:paraId="485B6391">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根据合同约定供货</w:t>
            </w:r>
          </w:p>
        </w:tc>
      </w:tr>
      <w:tr w14:paraId="052B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111ED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14:paraId="5F9A319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14:paraId="3B72BE9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有国家标准和行业标准的，按国家标准和行业标准执行，满足质量要求和使用需求的全新产品，一次验收合格。</w:t>
            </w:r>
          </w:p>
        </w:tc>
      </w:tr>
      <w:tr w14:paraId="0267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1EDA4BD">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14:paraId="63BBD96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14:paraId="56086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所提供货物应有注册证或备案凭证、合格证、检验报告等。</w:t>
            </w:r>
          </w:p>
        </w:tc>
      </w:tr>
      <w:tr w14:paraId="0149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660835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14:paraId="5772B5B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14:paraId="70BFE9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14:paraId="2800F85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（2）询价响应产品的检验报告或合格证等（复印件加盖公章）；</w:t>
            </w:r>
          </w:p>
          <w:p w14:paraId="4BEA69C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14:paraId="4A4F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5CD365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14:paraId="20D9A34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14:paraId="1278AD0E">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CE2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F290EA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14:paraId="567F0A6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14:paraId="10C843A8">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19C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9311EC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14:paraId="54AABE3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14:paraId="3A0F7A8A">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170F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3D4724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14:paraId="297F1D3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14:paraId="02B04AB5">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14:paraId="539B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C4514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14:paraId="524226E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14:paraId="095D9F4B">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14:paraId="3FF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6F6BDA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14:paraId="3E53DD8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14:paraId="48269B9E">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14:paraId="11B9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A85547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14:paraId="0AF8B49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14:paraId="16BDCF7B">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14:paraId="5C6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5E7AB39">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14:paraId="7FCF1B11">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14:paraId="0BD4EAE4">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14:paraId="6CC3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0FAF8D1">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14:paraId="7FD6601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14:paraId="09472D70">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14:paraId="4E30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B119A05">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14:paraId="435C83EA">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14:paraId="7BA2AE1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14:paraId="77F1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8959A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14:paraId="70EEBFF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14:paraId="07A680A2">
            <w:pPr>
              <w:keepNext w:val="0"/>
              <w:keepLines w:val="0"/>
              <w:pageBreakBefore w:val="0"/>
              <w:kinsoku/>
              <w:wordWrap/>
              <w:overflowPunct/>
              <w:topLinePunct w:val="0"/>
              <w:autoSpaceDE w:val="0"/>
              <w:autoSpaceDN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14:paraId="5B97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7D5448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14:paraId="42F6A775">
            <w:pPr>
              <w:keepNext w:val="0"/>
              <w:keepLines w:val="0"/>
              <w:pageBreakBefore w:val="0"/>
              <w:kinsoku/>
              <w:wordWrap/>
              <w:overflowPunct/>
              <w:topLinePunct w:val="0"/>
              <w:autoSpaceDE w:val="0"/>
              <w:autoSpaceDN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5BD470E7">
            <w:pPr>
              <w:keepNext w:val="0"/>
              <w:keepLines w:val="0"/>
              <w:pageBreakBefore w:val="0"/>
              <w:kinsoku/>
              <w:wordWrap/>
              <w:overflowPunct/>
              <w:topLinePunct w:val="0"/>
              <w:bidi w:val="0"/>
              <w:adjustRightInd/>
              <w:snapToGrid/>
              <w:spacing w:line="440" w:lineRule="exact"/>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14:paraId="5551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8EDD30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14:paraId="3786FCC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14:paraId="29C0064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14:paraId="4BA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3C6915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14:paraId="1E59C2A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default" w:ascii="Times New Roman" w:hAnsi="Times New Roman" w:cs="Times New Roman"/>
                <w:color w:val="000000" w:themeColor="text1"/>
                <w:sz w:val="32"/>
                <w:szCs w:val="32"/>
                <w:lang w:val="en-US" w:eastAsia="zh-CN"/>
                <w14:textFill>
                  <w14:solidFill>
                    <w14:schemeClr w14:val="tx1"/>
                  </w14:solidFill>
                </w14:textFill>
              </w:rPr>
              <w:t>情形</w:t>
            </w:r>
          </w:p>
        </w:tc>
        <w:tc>
          <w:tcPr>
            <w:tcW w:w="6985" w:type="dxa"/>
            <w:tcBorders>
              <w:top w:val="single" w:color="auto" w:sz="4" w:space="0"/>
              <w:left w:val="single" w:color="auto" w:sz="4" w:space="0"/>
              <w:bottom w:val="single" w:color="auto" w:sz="4" w:space="0"/>
              <w:right w:val="single" w:color="auto" w:sz="4" w:space="0"/>
            </w:tcBorders>
            <w:vAlign w:val="center"/>
          </w:tcPr>
          <w:p w14:paraId="7DAC968A">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由同一单位或者个人编制；</w:t>
            </w:r>
          </w:p>
          <w:p w14:paraId="4DD8BD03">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委托同一单位或者个人办理投标事宜；</w:t>
            </w:r>
          </w:p>
          <w:p w14:paraId="71EBDCF1">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载明的项目管理成员或者联系人员为同一人；</w:t>
            </w:r>
          </w:p>
          <w:p w14:paraId="2015D54F">
            <w:pPr>
              <w:keepNext w:val="0"/>
              <w:keepLines w:val="0"/>
              <w:pageBreakBefore w:val="0"/>
              <w:tabs>
                <w:tab w:val="left" w:pos="1080"/>
              </w:tabs>
              <w:kinsoku/>
              <w:wordWrap/>
              <w:overflowPunct/>
              <w:topLinePunct w:val="0"/>
              <w:bidi w:val="0"/>
              <w:adjustRightInd/>
              <w:snapToGrid/>
              <w:spacing w:line="440" w:lineRule="exact"/>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异常一致或者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w:t>
            </w:r>
            <w:r>
              <w:rPr>
                <w:rFonts w:hint="eastAsia" w:ascii="Times New Roman" w:hAnsi="Times New Roman" w:eastAsia="方正仿宋_GBK" w:cs="Times New Roman"/>
                <w:color w:val="000000" w:themeColor="text1"/>
                <w:sz w:val="32"/>
                <w:szCs w:val="32"/>
                <w14:textFill>
                  <w14:solidFill>
                    <w14:schemeClr w14:val="tx1"/>
                  </w14:solidFill>
                </w14:textFill>
              </w:rPr>
              <w:t>报价呈规律性差异；</w:t>
            </w:r>
          </w:p>
          <w:p w14:paraId="0E839B99">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不同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供应商</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响应文件</w:t>
            </w:r>
            <w:r>
              <w:rPr>
                <w:rFonts w:hint="eastAsia" w:ascii="Times New Roman" w:hAnsi="Times New Roman" w:eastAsia="方正仿宋_GBK" w:cs="Times New Roman"/>
                <w:color w:val="000000" w:themeColor="text1"/>
                <w:sz w:val="32"/>
                <w:szCs w:val="32"/>
                <w14:textFill>
                  <w14:solidFill>
                    <w14:schemeClr w14:val="tx1"/>
                  </w14:solidFill>
                </w14:textFill>
              </w:rPr>
              <w:t>相互混装；</w:t>
            </w:r>
          </w:p>
          <w:p w14:paraId="054D44CD">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分项报价及总报价价</w:t>
            </w:r>
            <w:r>
              <w:rPr>
                <w:rFonts w:hint="default" w:ascii="Times New Roman" w:hAnsi="Times New Roman" w:eastAsia="方正仿宋_GBK" w:cs="Times New Roman"/>
                <w:color w:val="000000" w:themeColor="text1"/>
                <w:sz w:val="32"/>
                <w:szCs w:val="32"/>
                <w14:textFill>
                  <w14:solidFill>
                    <w14:schemeClr w14:val="tx1"/>
                  </w14:solidFill>
                </w14:textFill>
              </w:rPr>
              <w:t>出现1个以上报价</w:t>
            </w:r>
            <w:r>
              <w:rPr>
                <w:rFonts w:hint="eastAsia" w:ascii="Times New Roman" w:hAnsi="Times New Roman" w:cs="Times New Roman"/>
                <w:color w:val="000000" w:themeColor="text1"/>
                <w:sz w:val="32"/>
                <w:szCs w:val="32"/>
                <w:lang w:val="en-US" w:eastAsia="zh-CN"/>
                <w14:textFill>
                  <w14:solidFill>
                    <w14:schemeClr w14:val="tx1"/>
                  </w14:solidFill>
                </w14:textFill>
              </w:rPr>
              <w:t>或超过最高限价的（如有）</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19764F96">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响应文件无法定代表人签字或签字但无法定代表人有效委托书的；</w:t>
            </w:r>
          </w:p>
          <w:p w14:paraId="691265A0">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14:paraId="67DCB5FE">
            <w:pPr>
              <w:pStyle w:val="33"/>
              <w:keepNext w:val="0"/>
              <w:keepLines w:val="0"/>
              <w:pageBreakBefore w:val="0"/>
              <w:kinsoku/>
              <w:wordWrap/>
              <w:overflowPunct/>
              <w:topLinePunct w:val="0"/>
              <w:bidi w:val="0"/>
              <w:adjustRightInd/>
              <w:snapToGrid/>
              <w:spacing w:line="440" w:lineRule="exact"/>
              <w:ind w:left="0" w:leftChars="0" w:firstLine="0" w:firstLineChars="0"/>
              <w:textAlignment w:val="auto"/>
              <w:rPr>
                <w:rFonts w:hint="default"/>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）投标报价单价高于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最高限价</w:t>
            </w:r>
            <w:r>
              <w:rPr>
                <w:rFonts w:hint="default" w:ascii="Times New Roman" w:hAnsi="Times New Roman" w:eastAsia="方正仿宋_GBK" w:cs="Times New Roman"/>
                <w:color w:val="000000" w:themeColor="text1"/>
                <w:sz w:val="32"/>
                <w:szCs w:val="32"/>
                <w14:textFill>
                  <w14:solidFill>
                    <w14:schemeClr w14:val="tx1"/>
                  </w14:solidFill>
                </w14:textFill>
              </w:rPr>
              <w:t>的</w:t>
            </w:r>
          </w:p>
          <w:p w14:paraId="74245655">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14:paraId="286FABC8">
            <w:pPr>
              <w:keepNext w:val="0"/>
              <w:keepLines w:val="0"/>
              <w:pageBreakBefore w:val="0"/>
              <w:tabs>
                <w:tab w:val="left" w:pos="1080"/>
              </w:tabs>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）不符合法律、法规和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中规定的其他实质性要求的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2A63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69DB12A">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14:paraId="36F9BC6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14:paraId="6533CB79">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443D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1638164">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14:paraId="51416CA6">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2309F749">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57E1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511D2A">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14:paraId="6FBD1027">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7BE5D24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项目基本信息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5AD4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F07E143">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14:paraId="6CE594A2">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14:paraId="26972A71">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14:paraId="60FF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C65D65E">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14:paraId="08FF98B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14:paraId="0C937CB4">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付款方式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1（若供应商规模属于中小微企业类型）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对公转账，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甲方收到乙方配送的试剂耗材后按照实际数量及随货单（出库单）验收入库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乙方开具的正式发票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60日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内付款。</w:t>
            </w:r>
          </w:p>
          <w:p w14:paraId="4DCD183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付款方式2（若供应商规模属于大型企业类型）：</w:t>
            </w:r>
            <w:r>
              <w:rPr>
                <w:rFonts w:hint="eastAsia" w:ascii="Times New Roman" w:hAnsi="Times New Roman" w:cs="Times New Roman"/>
                <w:color w:val="000000" w:themeColor="text1"/>
                <w:sz w:val="32"/>
                <w:szCs w:val="32"/>
                <w:lang w:val="en-US" w:eastAsia="zh-CN"/>
                <w14:textFill>
                  <w14:solidFill>
                    <w14:schemeClr w14:val="tx1"/>
                  </w14:solidFill>
                </w14:textFill>
              </w:rPr>
              <w:t>对公转账，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甲方收到乙方配送的试剂耗材后按照实际数量及随货单（出库单）验收入库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乙方开具的正式发票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90日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内付款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tc>
      </w:tr>
      <w:tr w14:paraId="3116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C4FD5B8">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14:paraId="633C2FDF">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14:paraId="51E39EDE">
            <w:pPr>
              <w:keepNext w:val="0"/>
              <w:keepLines w:val="0"/>
              <w:pageBreakBefore w:val="0"/>
              <w:numPr>
                <w:ilvl w:val="0"/>
                <w:numId w:val="0"/>
              </w:numPr>
              <w:kinsoku/>
              <w:wordWrap/>
              <w:overflowPunct/>
              <w:topLinePunct w:val="0"/>
              <w:bidi w:val="0"/>
              <w:adjustRightInd/>
              <w:snapToGrid/>
              <w:spacing w:line="440" w:lineRule="exact"/>
              <w:ind w:leftChars="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14:paraId="599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E4ABD64">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14:paraId="7E94E800">
            <w:pPr>
              <w:keepNext w:val="0"/>
              <w:keepLines w:val="0"/>
              <w:pageBreakBefore w:val="0"/>
              <w:kinsoku/>
              <w:wordWrap/>
              <w:overflowPunct/>
              <w:topLinePunct w:val="0"/>
              <w:bidi w:val="0"/>
              <w:adjustRightInd/>
              <w:snapToGrid/>
              <w:spacing w:line="44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14:paraId="293B2C27">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14:paraId="7376197E">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22" w:name="_Toc26688"/>
    </w:p>
    <w:p w14:paraId="3F66826C">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1038D764">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1F79711">
      <w:pPr>
        <w:rPr>
          <w:rFonts w:hint="default" w:ascii="Times New Roman" w:hAnsi="Times New Roman" w:cs="Times New Roman"/>
        </w:rPr>
      </w:pPr>
    </w:p>
    <w:p w14:paraId="7384D932">
      <w:pPr>
        <w:pStyle w:val="4"/>
        <w:bidi w:val="0"/>
        <w:ind w:firstLine="643" w:firstLineChars="200"/>
        <w:rPr>
          <w:rFonts w:hint="default" w:ascii="Times New Roman" w:hAnsi="Times New Roman" w:cs="Times New Roman"/>
        </w:rPr>
      </w:pPr>
      <w:bookmarkStart w:id="23" w:name="_Toc9102"/>
      <w:r>
        <w:rPr>
          <w:rFonts w:hint="default" w:ascii="Times New Roman" w:hAnsi="Times New Roman" w:cs="Times New Roman"/>
        </w:rPr>
        <w:t>一、总  则</w:t>
      </w:r>
      <w:bookmarkEnd w:id="22"/>
      <w:bookmarkEnd w:id="23"/>
    </w:p>
    <w:p w14:paraId="588104D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14:paraId="61D53E7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响应文件，即视为</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已知晓并接受</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14:paraId="47F3A617">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14:paraId="115C48EB">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14:paraId="1F9586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14:paraId="5C612854">
      <w:pPr>
        <w:pStyle w:val="2"/>
        <w:ind w:firstLine="640"/>
        <w:rPr>
          <w:rFonts w:hint="default" w:ascii="Times New Roman" w:hAnsi="Times New Roman" w:eastAsia="方正仿宋_GBK" w:cs="Times New Roman"/>
          <w:bCs w:val="0"/>
          <w:color w:val="FF0000"/>
          <w:kern w:val="2"/>
          <w:sz w:val="32"/>
          <w:szCs w:val="32"/>
          <w:lang w:val="en-US" w:eastAsia="zh-CN" w:bidi="ar-SA"/>
        </w:rPr>
      </w:pPr>
      <w:r>
        <w:rPr>
          <w:rFonts w:hint="default" w:ascii="Times New Roman" w:hAnsi="Times New Roman" w:cs="Times New Roman"/>
          <w:color w:val="FF0000"/>
          <w:sz w:val="32"/>
          <w:szCs w:val="32"/>
          <w:lang w:val="en-US" w:eastAsia="zh-CN"/>
        </w:rPr>
        <w:t xml:space="preserve">2.3 </w:t>
      </w:r>
      <w:r>
        <w:rPr>
          <w:rFonts w:hint="default" w:ascii="Times New Roman" w:hAnsi="Times New Roman" w:eastAsia="方正仿宋_GBK" w:cs="Times New Roman"/>
          <w:bCs w:val="0"/>
          <w:color w:val="FF0000"/>
          <w:kern w:val="2"/>
          <w:sz w:val="32"/>
          <w:szCs w:val="32"/>
          <w:lang w:val="en-US" w:eastAsia="zh-CN" w:bidi="ar-SA"/>
        </w:rPr>
        <w:t>未在规定时间内参与报名或提供报名材料</w:t>
      </w:r>
      <w:r>
        <w:rPr>
          <w:rFonts w:hint="default" w:ascii="Times New Roman" w:hAnsi="Times New Roman" w:cs="Times New Roman"/>
          <w:bCs w:val="0"/>
          <w:color w:val="FF0000"/>
          <w:kern w:val="2"/>
          <w:sz w:val="32"/>
          <w:szCs w:val="32"/>
          <w:lang w:val="en-US" w:eastAsia="zh-CN" w:bidi="ar-SA"/>
        </w:rPr>
        <w:t>不</w:t>
      </w:r>
      <w:r>
        <w:rPr>
          <w:rFonts w:hint="default" w:ascii="Times New Roman" w:hAnsi="Times New Roman" w:eastAsia="方正仿宋_GBK" w:cs="Times New Roman"/>
          <w:bCs w:val="0"/>
          <w:color w:val="FF0000"/>
          <w:kern w:val="2"/>
          <w:sz w:val="32"/>
          <w:szCs w:val="32"/>
          <w:lang w:val="en-US" w:eastAsia="zh-CN" w:bidi="ar-SA"/>
        </w:rPr>
        <w:t>齐全的视为不合格供应商，不得参与本项目采购活动。</w:t>
      </w:r>
    </w:p>
    <w:p w14:paraId="0F8571AB">
      <w:pPr>
        <w:pStyle w:val="2"/>
        <w:ind w:firstLine="640"/>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如供应商为满足供应商资格要求提供虚假材料，一经查实，供应商询价响应文件将按无效处理。</w:t>
      </w:r>
    </w:p>
    <w:p w14:paraId="7B2B5AE5">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14:paraId="5A6B0FDB">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14:paraId="4A43383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14:paraId="542D512F">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30FBC8A1">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14:paraId="2471AE1D">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6BFB87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24" w:name="_Toc475291681"/>
      <w:bookmarkStart w:id="25" w:name="_Toc321836356"/>
      <w:bookmarkStart w:id="26" w:name="_Toc476848359"/>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24"/>
      <w:bookmarkEnd w:id="25"/>
      <w:bookmarkEnd w:id="26"/>
    </w:p>
    <w:p w14:paraId="1E5831F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14:paraId="1E90CEC9">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14:paraId="28A5BA5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14:paraId="6D55D9BF">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14:paraId="5562ACA1">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14:paraId="7510B73E">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6.2供应商提供的质疑书（如材料中有外文资料应同时附上中文译本）应当包括以下主要内容：</w:t>
      </w:r>
    </w:p>
    <w:p w14:paraId="3008FB86">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14:paraId="664DFAE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14:paraId="60E1A76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14:paraId="2454EF82">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14:paraId="0BD84A7A">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14:paraId="4AE07827">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14:paraId="2793A07C">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14:paraId="12C7331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14:paraId="174FBBF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7" w:name="_Toc476856065"/>
      <w:bookmarkStart w:id="28" w:name="_Toc480665479"/>
      <w:bookmarkStart w:id="29" w:name="_Toc476848360"/>
      <w:bookmarkStart w:id="30" w:name="_Toc475291682"/>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27"/>
      <w:bookmarkEnd w:id="28"/>
      <w:bookmarkEnd w:id="29"/>
      <w:bookmarkEnd w:id="30"/>
    </w:p>
    <w:p w14:paraId="17AABC23">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14:paraId="2F9B4CA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31" w:name="_Toc475291683"/>
      <w:bookmarkStart w:id="32" w:name="_Toc321836357"/>
      <w:bookmarkStart w:id="33" w:name="_Toc476856066"/>
      <w:bookmarkStart w:id="34" w:name="_Toc480665480"/>
      <w:bookmarkStart w:id="35" w:name="_Toc476848361"/>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31"/>
      <w:bookmarkEnd w:id="32"/>
      <w:bookmarkEnd w:id="33"/>
      <w:bookmarkEnd w:id="34"/>
      <w:bookmarkEnd w:id="35"/>
    </w:p>
    <w:p w14:paraId="37B8A73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立即取消本次采购活动，并按医院有关规定进行处理。</w:t>
      </w:r>
    </w:p>
    <w:p w14:paraId="6B627416">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bookmarkStart w:id="36" w:name="_Toc27334"/>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投诉受理部门：大理州第二人民医院纪委办公室；联系电话：</w:t>
      </w:r>
      <w:r>
        <w:rPr>
          <w:rFonts w:hint="default" w:ascii="Times New Roman" w:hAnsi="Times New Roman" w:eastAsia="方正仿宋_GBK" w:cs="Times New Roman"/>
          <w:b w:val="0"/>
          <w:bCs w:val="0"/>
          <w:color w:val="auto"/>
          <w:kern w:val="2"/>
          <w:sz w:val="32"/>
          <w:szCs w:val="32"/>
          <w:u w:val="none" w:color="auto"/>
          <w:lang w:val="en-US" w:eastAsia="zh-CN" w:bidi="ar-SA"/>
        </w:rPr>
        <w:t>0872-21</w:t>
      </w:r>
      <w:r>
        <w:rPr>
          <w:rFonts w:hint="eastAsia" w:ascii="Times New Roman" w:hAnsi="Times New Roman" w:cs="Times New Roman"/>
          <w:b w:val="0"/>
          <w:bCs w:val="0"/>
          <w:color w:val="auto"/>
          <w:kern w:val="2"/>
          <w:sz w:val="32"/>
          <w:szCs w:val="32"/>
          <w:u w:val="none" w:color="auto"/>
          <w:lang w:val="en-US" w:eastAsia="zh-CN" w:bidi="ar-SA"/>
        </w:rPr>
        <w:t>25752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；地址：大理市满江街道红山路与太和路交汇处。</w:t>
      </w:r>
      <w:bookmarkEnd w:id="36"/>
    </w:p>
    <w:p w14:paraId="74B111BE">
      <w:pPr>
        <w:pStyle w:val="4"/>
        <w:bidi w:val="0"/>
        <w:ind w:firstLine="643" w:firstLineChars="200"/>
        <w:rPr>
          <w:rFonts w:hint="default" w:ascii="Times New Roman" w:hAnsi="Times New Roman" w:cs="Times New Roman"/>
          <w:lang w:eastAsia="zh-CN"/>
        </w:rPr>
      </w:pPr>
      <w:bookmarkStart w:id="37" w:name="_Toc475291684"/>
      <w:bookmarkStart w:id="38" w:name="_Toc393354831"/>
      <w:bookmarkStart w:id="39" w:name="_Toc26980"/>
      <w:bookmarkStart w:id="40" w:name="_Toc7658"/>
      <w:r>
        <w:rPr>
          <w:rFonts w:hint="default" w:ascii="Times New Roman" w:hAnsi="Times New Roman" w:cs="Times New Roman"/>
        </w:rPr>
        <w:t>二、</w:t>
      </w:r>
      <w:bookmarkEnd w:id="37"/>
      <w:bookmarkEnd w:id="38"/>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39"/>
      <w:bookmarkEnd w:id="40"/>
    </w:p>
    <w:p w14:paraId="1947C3C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14:paraId="403592C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14:paraId="6C0A0BE4">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14:paraId="14E747A6">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14:paraId="2BA406F5">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14:paraId="47968680">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14:paraId="6FFFF659">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14:paraId="05D3CB3C">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14:paraId="7ED2941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14:paraId="42CC1C4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14:paraId="054B331C">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14:paraId="78952A1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14:paraId="36371B48">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14:paraId="3812FB31">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14:paraId="712D8C62">
      <w:pPr>
        <w:pStyle w:val="4"/>
        <w:bidi w:val="0"/>
        <w:ind w:firstLine="643" w:firstLineChars="200"/>
        <w:rPr>
          <w:rFonts w:hint="default" w:ascii="Times New Roman" w:hAnsi="Times New Roman" w:cs="Times New Roman"/>
        </w:rPr>
      </w:pPr>
      <w:bookmarkStart w:id="41" w:name="_Toc22086"/>
      <w:bookmarkStart w:id="42" w:name="_Toc393354832"/>
      <w:bookmarkStart w:id="43" w:name="_Toc475291685"/>
      <w:bookmarkStart w:id="44" w:name="_Toc7129"/>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41"/>
      <w:bookmarkEnd w:id="42"/>
      <w:bookmarkEnd w:id="43"/>
      <w:bookmarkEnd w:id="44"/>
    </w:p>
    <w:p w14:paraId="6C466D0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14:paraId="095EBC7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14:paraId="1F7975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14:paraId="5F063E2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14:paraId="5541B29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14:paraId="2737EC0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14:paraId="6AF80469">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14:paraId="6D537AD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14:paraId="3B47C5F3">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14:paraId="6E7A4AD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14:paraId="20A741E4">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14:paraId="3BF8909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14:paraId="564395D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14:paraId="703C235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14:paraId="442CE2B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14:paraId="2359252B">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14:paraId="68CD5D9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15.5同一标的物只允许有一个报价，否则将被视为无效报价。</w:t>
      </w:r>
    </w:p>
    <w:p w14:paraId="5F95772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14:paraId="03C60A5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14:paraId="61A3F850">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14:paraId="5C30DD36">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487F2A5D">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14:paraId="01BA8305">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14:paraId="4FB5DE2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263128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14:paraId="37A458E3">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14:paraId="3D5BAD9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14:paraId="0C6D706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1018334">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14:paraId="5349185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14:paraId="651623AE">
      <w:pPr>
        <w:pStyle w:val="4"/>
        <w:bidi w:val="0"/>
        <w:ind w:firstLine="643" w:firstLineChars="200"/>
        <w:rPr>
          <w:rFonts w:hint="default" w:ascii="Times New Roman" w:hAnsi="Times New Roman" w:cs="Times New Roman"/>
        </w:rPr>
      </w:pPr>
      <w:bookmarkStart w:id="45" w:name="_Toc3914"/>
      <w:bookmarkStart w:id="46" w:name="_Toc393354833"/>
      <w:bookmarkStart w:id="47" w:name="_Toc475291686"/>
      <w:bookmarkStart w:id="48" w:name="_Toc13131"/>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45"/>
      <w:bookmarkEnd w:id="46"/>
      <w:bookmarkEnd w:id="47"/>
      <w:bookmarkEnd w:id="48"/>
    </w:p>
    <w:p w14:paraId="7012F6A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14:paraId="07FD583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14:paraId="3150475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14:paraId="0B8C442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14:paraId="64EE7A30">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14:paraId="53914DBD">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14:paraId="5F3516B3">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21. </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14:paraId="2FFB3A06">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14:paraId="26DB7574">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14:paraId="65D0B01B">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14:paraId="6C998455">
      <w:pPr>
        <w:pStyle w:val="4"/>
        <w:bidi w:val="0"/>
        <w:ind w:firstLine="643" w:firstLineChars="200"/>
        <w:rPr>
          <w:rFonts w:hint="default" w:ascii="Times New Roman" w:hAnsi="Times New Roman" w:cs="Times New Roman"/>
        </w:rPr>
      </w:pPr>
      <w:bookmarkStart w:id="49" w:name="_Toc393354834"/>
      <w:bookmarkStart w:id="50" w:name="_Toc20283"/>
      <w:bookmarkStart w:id="51" w:name="_Toc22436"/>
      <w:bookmarkStart w:id="52" w:name="_Toc475291687"/>
      <w:r>
        <w:rPr>
          <w:rFonts w:hint="default" w:ascii="Times New Roman" w:hAnsi="Times New Roman" w:cs="Times New Roman"/>
        </w:rPr>
        <w:t>五、开标与评标</w:t>
      </w:r>
      <w:bookmarkEnd w:id="49"/>
      <w:bookmarkEnd w:id="50"/>
      <w:bookmarkEnd w:id="51"/>
      <w:bookmarkEnd w:id="52"/>
    </w:p>
    <w:p w14:paraId="1B0699A2">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14:paraId="72A5022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9336E8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14:paraId="2E44794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2624D9D1">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B0137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16CF80F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14:paraId="4606C4C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14:paraId="68D7362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14:paraId="671C440A">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w:t>
      </w:r>
    </w:p>
    <w:p w14:paraId="70531DF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14:paraId="66E9F8C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14:paraId="2859D6E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14:paraId="2564D22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14:paraId="2E1593EA">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14:paraId="78A27EB7">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14:paraId="7D597FF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53"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53"/>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14:paraId="642317D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14:paraId="6FF9F01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14:paraId="3884AC1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14:paraId="1A9A34B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14:paraId="482DBF4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14:paraId="0308695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14:paraId="3DDE0368">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14:paraId="0FF66851">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14:paraId="1B11A0D2">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14:paraId="3F510DB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14:paraId="456434C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14:paraId="3395094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CB74719">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14:paraId="7125998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响应文件进行评审。评标按：资格审查→符合性评审→详细评审→评标报告的程序进行。</w:t>
      </w:r>
    </w:p>
    <w:p w14:paraId="5FC3D3A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14:paraId="7B14164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小组成员和与评标活动有关的人员在采购活动中应严格遵守采购评审工作纪律，不得向外界泄露评审情况。</w:t>
      </w:r>
    </w:p>
    <w:p w14:paraId="0A0582C4">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14:paraId="3B273AC4">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bCs/>
          <w:sz w:val="32"/>
          <w:szCs w:val="32"/>
          <w:lang w:val="en-US" w:eastAsia="zh-CN"/>
        </w:rPr>
        <w:t>响应文件递交不足3家或资格审查不足3家的；</w:t>
      </w:r>
    </w:p>
    <w:p w14:paraId="5B26C964">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符合性审查或实质性响应不足2家的；</w:t>
      </w:r>
    </w:p>
    <w:p w14:paraId="6B8C3346">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3</w:t>
      </w:r>
      <w:r>
        <w:rPr>
          <w:rFonts w:hint="default" w:ascii="Times New Roman" w:hAnsi="Times New Roman" w:eastAsia="方正仿宋_GBK" w:cs="Times New Roman"/>
          <w:bCs/>
          <w:sz w:val="32"/>
          <w:szCs w:val="32"/>
        </w:rPr>
        <w:t>)出现影响采购公正的违法、违规行为的；</w:t>
      </w:r>
    </w:p>
    <w:p w14:paraId="51C18F48">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14:paraId="52B79059">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)因重大变故，采购任务取消的。</w:t>
      </w:r>
    </w:p>
    <w:p w14:paraId="336EC3BE">
      <w:pPr>
        <w:pStyle w:val="1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14:paraId="54E2D997">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14:paraId="505B807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14:paraId="1626219E">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14:paraId="1ED7E99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14:paraId="16C1B76F">
      <w:pPr>
        <w:pStyle w:val="4"/>
        <w:bidi w:val="0"/>
        <w:ind w:firstLine="643" w:firstLineChars="200"/>
        <w:rPr>
          <w:rFonts w:hint="default" w:ascii="Times New Roman" w:hAnsi="Times New Roman" w:cs="Times New Roman"/>
        </w:rPr>
      </w:pPr>
      <w:bookmarkStart w:id="54" w:name="_Toc393354835"/>
      <w:bookmarkStart w:id="55" w:name="_Toc3919"/>
      <w:bookmarkStart w:id="56" w:name="_Toc475291688"/>
      <w:bookmarkStart w:id="57" w:name="_Toc20623"/>
      <w:r>
        <w:rPr>
          <w:rFonts w:hint="default" w:ascii="Times New Roman" w:hAnsi="Times New Roman" w:cs="Times New Roman"/>
        </w:rPr>
        <w:t>六、成交结果</w:t>
      </w:r>
      <w:bookmarkEnd w:id="54"/>
      <w:bookmarkEnd w:id="55"/>
      <w:bookmarkEnd w:id="56"/>
      <w:bookmarkEnd w:id="57"/>
    </w:p>
    <w:p w14:paraId="6AC0EF7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14:paraId="7676EEDD">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14:paraId="5DF71A27">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14:paraId="4E85C031">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14:paraId="78CA697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14:paraId="1EDFA35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w:t>
      </w:r>
      <w:r>
        <w:rPr>
          <w:rFonts w:hint="default" w:ascii="Times New Roman" w:hAnsi="Times New Roman" w:cs="Times New Roman"/>
          <w:color w:val="000000" w:themeColor="text1"/>
          <w:sz w:val="32"/>
          <w:szCs w:val="32"/>
          <w:lang w:val="en-US" w:eastAsia="zh-CN"/>
          <w14:textFill>
            <w14:solidFill>
              <w14:schemeClr w14:val="tx1"/>
            </w14:solidFill>
          </w14:textFill>
        </w:rPr>
        <w:t>发布网站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14:paraId="668640B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14:paraId="35BF41F4">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14:paraId="0ACDC1A3">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14:paraId="118D53A5">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F594D98">
      <w:pPr>
        <w:pStyle w:val="4"/>
        <w:bidi w:val="0"/>
        <w:ind w:firstLine="643" w:firstLineChars="200"/>
        <w:rPr>
          <w:rFonts w:hint="default" w:ascii="Times New Roman" w:hAnsi="Times New Roman" w:cs="Times New Roman"/>
        </w:rPr>
      </w:pPr>
      <w:bookmarkStart w:id="58" w:name="_Toc475291689"/>
      <w:bookmarkStart w:id="59" w:name="_Toc6479"/>
      <w:bookmarkStart w:id="60" w:name="_Toc13663"/>
      <w:bookmarkStart w:id="61" w:name="_Toc393354836"/>
      <w:r>
        <w:rPr>
          <w:rFonts w:hint="default" w:ascii="Times New Roman" w:hAnsi="Times New Roman" w:cs="Times New Roman"/>
        </w:rPr>
        <w:t>七、其他事项</w:t>
      </w:r>
      <w:bookmarkEnd w:id="58"/>
      <w:bookmarkEnd w:id="59"/>
      <w:bookmarkEnd w:id="60"/>
      <w:bookmarkEnd w:id="61"/>
    </w:p>
    <w:p w14:paraId="558D6F66">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14:paraId="42475D3B">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C959F4C">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14:paraId="04B097E0">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第74号）及相关法律法规编制。</w:t>
      </w:r>
    </w:p>
    <w:p w14:paraId="3892B527">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14:paraId="0320171B">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7503A2C">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14:paraId="6D4867DB">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14:paraId="0FDDC951">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14:paraId="04BC8B17">
      <w:pPr>
        <w:pStyle w:val="2"/>
        <w:rPr>
          <w:rFonts w:hint="default" w:ascii="Times New Roman" w:hAnsi="Times New Roman" w:cs="Times New Roman"/>
          <w:b w:val="0"/>
          <w:bCs w:val="0"/>
          <w:color w:val="auto"/>
          <w:sz w:val="44"/>
          <w:szCs w:val="44"/>
          <w:u w:val="none" w:color="auto"/>
          <w:lang w:val="en-US" w:eastAsia="zh-CN"/>
        </w:rPr>
      </w:pPr>
    </w:p>
    <w:p w14:paraId="46EA5CF4">
      <w:pPr>
        <w:rPr>
          <w:rFonts w:hint="default" w:ascii="Times New Roman" w:hAnsi="Times New Roman" w:cs="Times New Roman"/>
          <w:lang w:val="en-US" w:eastAsia="zh-CN"/>
        </w:rPr>
      </w:pPr>
    </w:p>
    <w:p w14:paraId="00C4D906">
      <w:pPr>
        <w:pStyle w:val="3"/>
        <w:rPr>
          <w:rFonts w:hint="default" w:ascii="Times New Roman" w:hAnsi="Times New Roman" w:cs="Times New Roman"/>
          <w:lang w:val="en-US" w:eastAsia="zh-CN"/>
        </w:rPr>
      </w:pPr>
    </w:p>
    <w:p w14:paraId="13CC8B59">
      <w:pPr>
        <w:rPr>
          <w:rFonts w:hint="default" w:ascii="Times New Roman" w:hAnsi="Times New Roman" w:cs="Times New Roman"/>
          <w:lang w:val="en-US" w:eastAsia="zh-CN"/>
        </w:rPr>
      </w:pPr>
    </w:p>
    <w:p w14:paraId="6B5A713A">
      <w:pPr>
        <w:pStyle w:val="3"/>
        <w:rPr>
          <w:rFonts w:hint="default" w:ascii="Times New Roman" w:hAnsi="Times New Roman" w:cs="Times New Roman"/>
          <w:lang w:val="en-US" w:eastAsia="zh-CN"/>
        </w:rPr>
      </w:pPr>
    </w:p>
    <w:p w14:paraId="3D39654C">
      <w:pPr>
        <w:pStyle w:val="3"/>
        <w:numPr>
          <w:ilvl w:val="0"/>
          <w:numId w:val="1"/>
        </w:numPr>
        <w:bidi w:val="0"/>
        <w:rPr>
          <w:rFonts w:hint="default" w:ascii="Times New Roman" w:hAnsi="Times New Roman" w:eastAsia="方正小标宋_GBK" w:cs="Times New Roman"/>
          <w:sz w:val="44"/>
          <w:szCs w:val="44"/>
          <w:lang w:val="en-US" w:eastAsia="zh-CN"/>
        </w:rPr>
      </w:pPr>
      <w:bookmarkStart w:id="62" w:name="_Toc27244"/>
      <w:r>
        <w:rPr>
          <w:rFonts w:hint="default" w:ascii="Times New Roman" w:hAnsi="Times New Roman" w:eastAsia="方正小标宋_GBK" w:cs="Times New Roman"/>
          <w:sz w:val="44"/>
          <w:szCs w:val="44"/>
          <w:lang w:val="en-US" w:eastAsia="zh-CN"/>
        </w:rPr>
        <w:t>合同书样式及主要条款</w:t>
      </w:r>
      <w:bookmarkEnd w:id="62"/>
    </w:p>
    <w:tbl>
      <w:tblPr>
        <w:tblStyle w:val="16"/>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14:paraId="4F77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tcPr>
          <w:p w14:paraId="103EC20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14:paraId="24700B2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14:paraId="6E1B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D7A06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14:paraId="221930E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14:paraId="79427A7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eastAsia="方正仿宋_GBK" w:cs="Times New Roman"/>
                <w:b w:val="0"/>
                <w:bCs w:val="0"/>
                <w:color w:val="auto"/>
                <w:kern w:val="2"/>
                <w:sz w:val="32"/>
                <w:szCs w:val="32"/>
                <w:u w:val="none"/>
                <w:lang w:val="en-US" w:eastAsia="zh-CN" w:bidi="ar-SA"/>
              </w:rPr>
              <w:t>接到订单后，中标方正常情况下48小时内送达采购人指定地点，特殊情况不得超过72小时，加急情况下需24小时内送达，特殊情况下节假日照常配送</w:t>
            </w:r>
            <w:r>
              <w:rPr>
                <w:rFonts w:hint="default" w:ascii="Times New Roman" w:hAnsi="Times New Roman" w:eastAsia="方正仿宋_GBK" w:cs="Times New Roman"/>
                <w:sz w:val="32"/>
                <w:szCs w:val="32"/>
              </w:rPr>
              <w:t>。</w:t>
            </w:r>
          </w:p>
          <w:p w14:paraId="6E97A9E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14:paraId="39A8532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eastAsia="方正仿宋_GBK" w:cs="Times New Roman"/>
                <w:b w:val="0"/>
                <w:bCs w:val="0"/>
                <w:color w:val="auto"/>
                <w:kern w:val="2"/>
                <w:sz w:val="32"/>
                <w:szCs w:val="32"/>
                <w:u w:val="none"/>
                <w:lang w:val="en-US" w:eastAsia="zh-CN" w:bidi="ar-SA"/>
              </w:rPr>
              <w:t>由中标方负责免费运输至采购人指定位置，双方在场接收</w:t>
            </w:r>
            <w:r>
              <w:rPr>
                <w:rFonts w:hint="default" w:ascii="Times New Roman" w:hAnsi="Times New Roman" w:eastAsia="方正仿宋_GBK" w:cs="Times New Roman"/>
                <w:sz w:val="32"/>
                <w:szCs w:val="32"/>
              </w:rPr>
              <w:t>。</w:t>
            </w:r>
          </w:p>
        </w:tc>
      </w:tr>
      <w:tr w14:paraId="0D6B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B1750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14:paraId="6E3C626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cs="Times New Roman"/>
                <w:b w:val="0"/>
                <w:bCs/>
                <w:color w:val="000000" w:themeColor="text1"/>
                <w:sz w:val="32"/>
                <w:szCs w:val="32"/>
                <w:lang w:eastAsia="zh-CN"/>
                <w14:textFill>
                  <w14:solidFill>
                    <w14:schemeClr w14:val="tx1"/>
                  </w14:solidFill>
                </w14:textFill>
              </w:rPr>
              <w:t>（</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若供应商规模属于中小微企业类型</w:t>
            </w:r>
            <w:r>
              <w:rPr>
                <w:rFonts w:hint="eastAsia" w:ascii="Times New Roman" w:hAnsi="Times New Roman"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对公转账，</w:t>
            </w:r>
            <w:r>
              <w:rPr>
                <w:rFonts w:hint="default" w:ascii="Times New Roman" w:hAnsi="Times New Roman" w:eastAsia="方正仿宋_GBK" w:cs="Times New Roman"/>
                <w:sz w:val="32"/>
                <w:szCs w:val="32"/>
                <w:lang w:val="en-US" w:eastAsia="zh-CN"/>
              </w:rPr>
              <w:t>甲方收到乙方配送的试剂耗材后按照实际数量及随货单（出库单）验收入库</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依据</w:t>
            </w:r>
            <w:r>
              <w:rPr>
                <w:rFonts w:hint="default" w:ascii="Times New Roman" w:hAnsi="Times New Roman" w:eastAsia="方正仿宋_GBK" w:cs="Times New Roman"/>
                <w:sz w:val="32"/>
                <w:szCs w:val="32"/>
                <w:lang w:val="en-US" w:eastAsia="zh-CN"/>
              </w:rPr>
              <w:t>乙方开具的正式发票</w:t>
            </w:r>
            <w:r>
              <w:rPr>
                <w:rFonts w:hint="eastAsia" w:ascii="Times New Roman" w:hAnsi="Times New Roman" w:eastAsia="方正仿宋_GBK" w:cs="Times New Roman"/>
                <w:sz w:val="32"/>
                <w:szCs w:val="32"/>
                <w:lang w:val="en-US" w:eastAsia="zh-CN"/>
              </w:rPr>
              <w:t>60日</w:t>
            </w:r>
            <w:r>
              <w:rPr>
                <w:rFonts w:hint="default" w:ascii="Times New Roman" w:hAnsi="Times New Roman" w:eastAsia="方正仿宋_GBK" w:cs="Times New Roman"/>
                <w:sz w:val="32"/>
                <w:szCs w:val="32"/>
                <w:lang w:val="en-US" w:eastAsia="zh-CN"/>
              </w:rPr>
              <w:t>内付款。</w:t>
            </w:r>
          </w:p>
          <w:p w14:paraId="4CEE9C3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付款方式2（若供应商规模属于大型企业类型）：对公转账，</w:t>
            </w:r>
            <w:r>
              <w:rPr>
                <w:rFonts w:hint="default" w:ascii="Times New Roman" w:hAnsi="Times New Roman" w:eastAsia="方正仿宋_GBK" w:cs="Times New Roman"/>
                <w:sz w:val="32"/>
                <w:szCs w:val="32"/>
                <w:lang w:val="en-US" w:eastAsia="zh-CN"/>
              </w:rPr>
              <w:t>甲方收到乙方配送的试剂耗材后按照实际数量及随货单（出库单）验收入库</w:t>
            </w:r>
            <w:r>
              <w:rPr>
                <w:rFonts w:hint="eastAsia"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依据</w:t>
            </w:r>
            <w:r>
              <w:rPr>
                <w:rFonts w:hint="default" w:ascii="Times New Roman" w:hAnsi="Times New Roman" w:eastAsia="方正仿宋_GBK" w:cs="Times New Roman"/>
                <w:sz w:val="32"/>
                <w:szCs w:val="32"/>
                <w:lang w:val="en-US" w:eastAsia="zh-CN"/>
              </w:rPr>
              <w:t>乙方开具的正式发票</w:t>
            </w:r>
            <w:r>
              <w:rPr>
                <w:rFonts w:hint="eastAsia" w:ascii="Times New Roman" w:hAnsi="Times New Roman" w:cs="Times New Roman"/>
                <w:sz w:val="32"/>
                <w:szCs w:val="32"/>
                <w:lang w:val="en-US" w:eastAsia="zh-CN"/>
              </w:rPr>
              <w:t>9</w:t>
            </w:r>
            <w:r>
              <w:rPr>
                <w:rFonts w:hint="eastAsia" w:ascii="Times New Roman" w:hAnsi="Times New Roman" w:eastAsia="方正仿宋_GBK" w:cs="Times New Roman"/>
                <w:sz w:val="32"/>
                <w:szCs w:val="32"/>
                <w:lang w:val="en-US" w:eastAsia="zh-CN"/>
              </w:rPr>
              <w:t>0日</w:t>
            </w:r>
            <w:r>
              <w:rPr>
                <w:rFonts w:hint="default" w:ascii="Times New Roman" w:hAnsi="Times New Roman" w:eastAsia="方正仿宋_GBK" w:cs="Times New Roman"/>
                <w:sz w:val="32"/>
                <w:szCs w:val="32"/>
                <w:lang w:val="en-US" w:eastAsia="zh-CN"/>
              </w:rPr>
              <w:t>内付款</w:t>
            </w:r>
            <w:r>
              <w:rPr>
                <w:rFonts w:hint="eastAsia" w:ascii="Times New Roman" w:hAnsi="Times New Roman" w:cs="Times New Roman"/>
                <w:sz w:val="32"/>
                <w:szCs w:val="32"/>
                <w:lang w:val="en-US" w:eastAsia="zh-CN"/>
              </w:rPr>
              <w:t>）</w:t>
            </w:r>
          </w:p>
        </w:tc>
      </w:tr>
    </w:tbl>
    <w:p w14:paraId="63798AF3">
      <w:pPr>
        <w:pStyle w:val="4"/>
        <w:bidi w:val="0"/>
        <w:rPr>
          <w:rFonts w:hint="default" w:ascii="Times New Roman" w:hAnsi="Times New Roman" w:cs="Times New Roman"/>
          <w:lang w:val="en-US" w:eastAsia="zh-CN"/>
        </w:rPr>
      </w:pPr>
      <w:bookmarkStart w:id="63" w:name="_Toc27195"/>
      <w:r>
        <w:rPr>
          <w:rFonts w:hint="default" w:ascii="Times New Roman" w:hAnsi="Times New Roman" w:cs="Times New Roman"/>
          <w:lang w:val="en-US" w:eastAsia="zh-CN"/>
        </w:rPr>
        <w:t>合同条款前附表</w:t>
      </w:r>
      <w:bookmarkEnd w:id="63"/>
    </w:p>
    <w:p w14:paraId="0DE190F6">
      <w:pPr>
        <w:pStyle w:val="2"/>
        <w:rPr>
          <w:rFonts w:hint="default" w:ascii="Times New Roman" w:hAnsi="Times New Roman" w:cs="Times New Roman"/>
          <w:lang w:val="en-US" w:eastAsia="zh-CN"/>
        </w:rPr>
      </w:pPr>
    </w:p>
    <w:p w14:paraId="775A9C88">
      <w:pPr>
        <w:rPr>
          <w:rFonts w:hint="default" w:ascii="Times New Roman" w:hAnsi="Times New Roman" w:cs="Times New Roman"/>
          <w:lang w:val="en-US" w:eastAsia="zh-CN"/>
        </w:rPr>
      </w:pPr>
    </w:p>
    <w:p w14:paraId="405E00A0">
      <w:pPr>
        <w:pStyle w:val="2"/>
        <w:rPr>
          <w:rFonts w:hint="default" w:ascii="Times New Roman" w:hAnsi="Times New Roman" w:cs="Times New Roman"/>
          <w:lang w:val="en-US" w:eastAsia="zh-CN"/>
        </w:rPr>
      </w:pPr>
    </w:p>
    <w:p w14:paraId="2004F783">
      <w:pPr>
        <w:rPr>
          <w:rFonts w:hint="default" w:ascii="Times New Roman" w:hAnsi="Times New Roman" w:cs="Times New Roman"/>
          <w:lang w:val="en-US" w:eastAsia="zh-CN"/>
        </w:rPr>
      </w:pPr>
    </w:p>
    <w:p w14:paraId="57A9D009">
      <w:pPr>
        <w:pStyle w:val="2"/>
        <w:rPr>
          <w:rFonts w:hint="default" w:ascii="Times New Roman" w:hAnsi="Times New Roman" w:cs="Times New Roman"/>
          <w:lang w:val="en-US" w:eastAsia="zh-CN"/>
        </w:rPr>
      </w:pPr>
    </w:p>
    <w:p w14:paraId="4851931A">
      <w:pPr>
        <w:rPr>
          <w:rFonts w:hint="default" w:ascii="Times New Roman" w:hAnsi="Times New Roman" w:cs="Times New Roman"/>
          <w:lang w:val="en-US" w:eastAsia="zh-CN"/>
        </w:rPr>
      </w:pPr>
    </w:p>
    <w:p w14:paraId="0CB5212A">
      <w:pPr>
        <w:pStyle w:val="2"/>
        <w:rPr>
          <w:rFonts w:hint="default" w:ascii="Times New Roman" w:hAnsi="Times New Roman" w:cs="Times New Roman"/>
          <w:lang w:val="en-US" w:eastAsia="zh-CN"/>
        </w:rPr>
      </w:pPr>
    </w:p>
    <w:p w14:paraId="167AAE3D">
      <w:pPr>
        <w:autoSpaceDE w:val="0"/>
        <w:autoSpaceDN w:val="0"/>
        <w:adjustRightInd w:val="0"/>
        <w:spacing w:line="360" w:lineRule="auto"/>
        <w:jc w:val="left"/>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 xml:space="preserve">合同编号：           </w:t>
      </w:r>
      <w:r>
        <w:rPr>
          <w:rFonts w:hint="default" w:ascii="Times New Roman" w:hAnsi="Times New Roman" w:cs="Times New Roman"/>
          <w:b/>
          <w:bCs/>
          <w:color w:val="000000" w:themeColor="text1"/>
          <w:kern w:val="0"/>
          <w:sz w:val="24"/>
          <w14:textFill>
            <w14:solidFill>
              <w14:schemeClr w14:val="tx1"/>
            </w14:solidFill>
          </w14:textFill>
        </w:rPr>
        <w:t xml:space="preserve">              项目编号：</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DLZEYZCB-2025-05</w:t>
      </w:r>
    </w:p>
    <w:p w14:paraId="1F5069FB">
      <w:pPr>
        <w:autoSpaceDE w:val="0"/>
        <w:autoSpaceDN w:val="0"/>
        <w:adjustRightInd w:val="0"/>
        <w:spacing w:line="360" w:lineRule="auto"/>
        <w:jc w:val="left"/>
        <w:rPr>
          <w:rFonts w:hint="default" w:ascii="Times New Roman" w:hAnsi="Times New Roman" w:cs="Times New Roman"/>
          <w:b/>
          <w:bCs/>
          <w:color w:val="000000" w:themeColor="text1"/>
          <w:kern w:val="0"/>
          <w:szCs w:val="21"/>
          <w14:textFill>
            <w14:solidFill>
              <w14:schemeClr w14:val="tx1"/>
            </w14:solidFill>
          </w14:textFill>
        </w:rPr>
      </w:pPr>
      <w:r>
        <w:rPr>
          <w:rFonts w:hint="default" w:ascii="Times New Roman" w:hAnsi="Times New Roman" w:cs="Times New Roman"/>
          <w:b/>
          <w:color w:val="000000" w:themeColor="text1"/>
          <w:kern w:val="0"/>
          <w:sz w:val="24"/>
          <w14:textFill>
            <w14:solidFill>
              <w14:schemeClr w14:val="tx1"/>
            </w14:solidFill>
          </w14:textFill>
        </w:rPr>
        <w:t>●本合同须加盖甲乙双方骑缝章有效</w:t>
      </w:r>
    </w:p>
    <w:p w14:paraId="34A2D9FB">
      <w:pPr>
        <w:jc w:val="center"/>
        <w:rPr>
          <w:rFonts w:hint="default" w:ascii="Times New Roman" w:hAnsi="Times New Roman" w:cs="Times New Roman"/>
          <w:b/>
          <w:color w:val="000000" w:themeColor="text1"/>
          <w:spacing w:val="10"/>
          <w:sz w:val="36"/>
          <w:szCs w:val="48"/>
          <w14:textFill>
            <w14:solidFill>
              <w14:schemeClr w14:val="tx1"/>
            </w14:solidFill>
          </w14:textFill>
        </w:rPr>
      </w:pPr>
    </w:p>
    <w:p w14:paraId="3DF3689F">
      <w:pPr>
        <w:spacing w:line="360" w:lineRule="auto"/>
        <w:jc w:val="center"/>
        <w:rPr>
          <w:rFonts w:hint="default" w:ascii="Times New Roman" w:hAnsi="Times New Roman" w:cs="Times New Roman"/>
          <w:b/>
          <w:color w:val="000000" w:themeColor="text1"/>
          <w:spacing w:val="20"/>
          <w:sz w:val="32"/>
          <w:szCs w:val="32"/>
          <w14:textFill>
            <w14:solidFill>
              <w14:schemeClr w14:val="tx1"/>
            </w14:solidFill>
          </w14:textFill>
        </w:rPr>
      </w:pPr>
      <w:r>
        <w:rPr>
          <w:rFonts w:hint="default" w:ascii="Times New Roman" w:hAnsi="Times New Roman" w:cs="Times New Roman"/>
          <w:b/>
          <w:color w:val="000000" w:themeColor="text1"/>
          <w:spacing w:val="20"/>
          <w:sz w:val="32"/>
          <w:szCs w:val="32"/>
          <w14:textFill>
            <w14:solidFill>
              <w14:schemeClr w14:val="tx1"/>
            </w14:solidFill>
          </w14:textFill>
        </w:rPr>
        <w:t xml:space="preserve">  </w:t>
      </w:r>
    </w:p>
    <w:p w14:paraId="6D9C526A">
      <w:pPr>
        <w:autoSpaceDE w:val="0"/>
        <w:autoSpaceDN w:val="0"/>
        <w:adjustRightInd w:val="0"/>
        <w:spacing w:line="360" w:lineRule="auto"/>
        <w:jc w:val="center"/>
        <w:rPr>
          <w:rFonts w:hint="default" w:ascii="Times New Roman" w:hAnsi="Times New Roman" w:cs="Times New Roman"/>
          <w:b/>
          <w:color w:val="000000" w:themeColor="text1"/>
          <w:kern w:val="0"/>
          <w:sz w:val="102"/>
          <w:szCs w:val="32"/>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合</w:t>
      </w:r>
    </w:p>
    <w:p w14:paraId="5A20D996">
      <w:pPr>
        <w:autoSpaceDE w:val="0"/>
        <w:autoSpaceDN w:val="0"/>
        <w:adjustRightInd w:val="0"/>
        <w:spacing w:line="360" w:lineRule="auto"/>
        <w:jc w:val="center"/>
        <w:rPr>
          <w:rFonts w:hint="default" w:ascii="Times New Roman" w:hAnsi="Times New Roman" w:cs="Times New Roman"/>
          <w:b/>
          <w:color w:val="000000" w:themeColor="text1"/>
          <w:kern w:val="0"/>
          <w:sz w:val="102"/>
          <w:szCs w:val="32"/>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同</w:t>
      </w:r>
    </w:p>
    <w:p w14:paraId="7A2EA8E3">
      <w:pPr>
        <w:autoSpaceDE w:val="0"/>
        <w:autoSpaceDN w:val="0"/>
        <w:adjustRightInd w:val="0"/>
        <w:spacing w:line="360" w:lineRule="auto"/>
        <w:jc w:val="center"/>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102"/>
          <w:szCs w:val="32"/>
          <w14:textFill>
            <w14:solidFill>
              <w14:schemeClr w14:val="tx1"/>
            </w14:solidFill>
          </w14:textFill>
        </w:rPr>
        <w:t>书</w:t>
      </w:r>
    </w:p>
    <w:p w14:paraId="736AD63D">
      <w:pPr>
        <w:autoSpaceDE w:val="0"/>
        <w:autoSpaceDN w:val="0"/>
        <w:adjustRightInd w:val="0"/>
        <w:spacing w:line="500" w:lineRule="exact"/>
        <w:ind w:firstLine="2861" w:firstLineChars="950"/>
        <w:jc w:val="left"/>
        <w:rPr>
          <w:rFonts w:hint="default" w:ascii="Times New Roman" w:hAnsi="Times New Roman" w:cs="Times New Roman"/>
          <w:b/>
          <w:color w:val="000000" w:themeColor="text1"/>
          <w:kern w:val="0"/>
          <w:sz w:val="30"/>
          <w:szCs w:val="30"/>
          <w:lang w:val="zh-CN"/>
          <w14:textFill>
            <w14:solidFill>
              <w14:schemeClr w14:val="tx1"/>
            </w14:solidFill>
          </w14:textFill>
        </w:rPr>
      </w:pPr>
    </w:p>
    <w:p w14:paraId="108ED97E">
      <w:pPr>
        <w:pStyle w:val="8"/>
        <w:rPr>
          <w:rFonts w:hint="default" w:ascii="Times New Roman" w:hAnsi="Times New Roman" w:cs="Times New Roman"/>
          <w:lang w:val="zh-CN"/>
        </w:rPr>
      </w:pPr>
    </w:p>
    <w:p w14:paraId="30F426FE">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30"/>
          <w:szCs w:val="30"/>
          <w:lang w:val="zh-CN"/>
          <w14:textFill>
            <w14:solidFill>
              <w14:schemeClr w14:val="tx1"/>
            </w14:solidFill>
          </w14:textFill>
        </w:rPr>
        <w:t>签订地点：</w:t>
      </w:r>
    </w:p>
    <w:p w14:paraId="7A515DA7">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p>
    <w:p w14:paraId="18B84351">
      <w:pPr>
        <w:autoSpaceDE w:val="0"/>
        <w:autoSpaceDN w:val="0"/>
        <w:adjustRightInd w:val="0"/>
        <w:spacing w:line="500" w:lineRule="exact"/>
        <w:jc w:val="left"/>
        <w:rPr>
          <w:rFonts w:hint="default" w:ascii="Times New Roman" w:hAnsi="Times New Roman" w:cs="Times New Roman"/>
          <w:b/>
          <w:color w:val="000000" w:themeColor="text1"/>
          <w:kern w:val="0"/>
          <w:sz w:val="30"/>
          <w:szCs w:val="30"/>
          <w:lang w:val="zh-CN"/>
          <w14:textFill>
            <w14:solidFill>
              <w14:schemeClr w14:val="tx1"/>
            </w14:solidFill>
          </w14:textFill>
        </w:rPr>
      </w:pPr>
      <w:r>
        <w:rPr>
          <w:rFonts w:hint="default" w:ascii="Times New Roman" w:hAnsi="Times New Roman" w:cs="Times New Roman"/>
          <w:b/>
          <w:color w:val="000000" w:themeColor="text1"/>
          <w:kern w:val="0"/>
          <w:sz w:val="30"/>
          <w:szCs w:val="30"/>
          <w:lang w:val="zh-CN"/>
          <w14:textFill>
            <w14:solidFill>
              <w14:schemeClr w14:val="tx1"/>
            </w14:solidFill>
          </w14:textFill>
        </w:rPr>
        <w:t>签订日期：  年 月  日</w:t>
      </w:r>
    </w:p>
    <w:p w14:paraId="17105356">
      <w:pPr>
        <w:pStyle w:val="2"/>
        <w:rPr>
          <w:rFonts w:hint="default" w:ascii="Times New Roman" w:hAnsi="Times New Roman" w:cs="Times New Roman"/>
          <w:lang w:val="en-US" w:eastAsia="zh-CN"/>
        </w:rPr>
      </w:pPr>
    </w:p>
    <w:p w14:paraId="230C9258">
      <w:pPr>
        <w:rPr>
          <w:rFonts w:hint="default" w:ascii="Times New Roman" w:hAnsi="Times New Roman" w:cs="Times New Roman"/>
          <w:lang w:val="en-US" w:eastAsia="zh-CN"/>
        </w:rPr>
      </w:pPr>
    </w:p>
    <w:p w14:paraId="25E02BD7">
      <w:pPr>
        <w:pStyle w:val="2"/>
        <w:rPr>
          <w:rFonts w:hint="default" w:ascii="Times New Roman" w:hAnsi="Times New Roman" w:cs="Times New Roman"/>
          <w:lang w:val="en-US" w:eastAsia="zh-CN"/>
        </w:rPr>
      </w:pPr>
    </w:p>
    <w:p w14:paraId="58CF603D">
      <w:pPr>
        <w:rPr>
          <w:rFonts w:hint="default" w:ascii="Times New Roman" w:hAnsi="Times New Roman" w:cs="Times New Roman"/>
          <w:lang w:val="en-US" w:eastAsia="zh-CN"/>
        </w:rPr>
      </w:pPr>
    </w:p>
    <w:p w14:paraId="11402EB6">
      <w:pPr>
        <w:pStyle w:val="2"/>
        <w:rPr>
          <w:rFonts w:hint="default" w:ascii="Times New Roman" w:hAnsi="Times New Roman" w:cs="Times New Roman"/>
          <w:lang w:val="en-US" w:eastAsia="zh-CN"/>
        </w:rPr>
      </w:pPr>
    </w:p>
    <w:p w14:paraId="774E8AC2">
      <w:pPr>
        <w:rPr>
          <w:rFonts w:hint="default" w:ascii="Times New Roman" w:hAnsi="Times New Roman" w:cs="Times New Roman"/>
          <w:lang w:val="en-US" w:eastAsia="zh-CN"/>
        </w:rPr>
      </w:pPr>
    </w:p>
    <w:p w14:paraId="76896F1B">
      <w:pPr>
        <w:pStyle w:val="2"/>
        <w:rPr>
          <w:rFonts w:hint="default" w:ascii="Times New Roman" w:hAnsi="Times New Roman" w:cs="Times New Roman"/>
          <w:lang w:val="en-US" w:eastAsia="zh-CN"/>
        </w:rPr>
      </w:pPr>
    </w:p>
    <w:p w14:paraId="21F99298">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甲方(盖章)：大理白族自治州第二人民医院</w:t>
      </w:r>
    </w:p>
    <w:p w14:paraId="7B3D79F7">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法定代表人或委托代表人(签字)：</w:t>
      </w:r>
    </w:p>
    <w:p w14:paraId="3A58E7B4">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地址：大理市满江街道红山路与太和路交汇处</w:t>
      </w:r>
    </w:p>
    <w:p w14:paraId="6B0E3D14">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邮编：671005                  传真：0872-2125916</w:t>
      </w:r>
    </w:p>
    <w:p w14:paraId="346B50BA">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电话：0872-2350063</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联系人：</w:t>
      </w:r>
    </w:p>
    <w:p w14:paraId="165A7C9F">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CE17DDA">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乙方(盖章)：</w:t>
      </w:r>
    </w:p>
    <w:p w14:paraId="42AEFF33">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法定代表人或委托代表人(签字)：</w:t>
      </w:r>
    </w:p>
    <w:p w14:paraId="342AF6F1">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地址：</w:t>
      </w:r>
    </w:p>
    <w:p w14:paraId="64C7C0CD">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邮编：</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传真：</w:t>
      </w:r>
    </w:p>
    <w:p w14:paraId="7F373A57">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电话：</w:t>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ab/>
      </w:r>
      <w:r>
        <w:rPr>
          <w:rFonts w:hint="default" w:ascii="Times New Roman" w:hAnsi="Times New Roman" w:cs="Times New Roman"/>
          <w:b w:val="0"/>
          <w:color w:val="000000" w:themeColor="text1"/>
          <w:sz w:val="24"/>
          <w:szCs w:val="24"/>
          <w:lang w:val="en-US" w:eastAsia="zh-CN" w:bidi="ar-SA"/>
          <w14:textFill>
            <w14:solidFill>
              <w14:schemeClr w14:val="tx1"/>
            </w14:solidFill>
          </w14:textFill>
        </w:rPr>
        <w:t xml:space="preserve">                      联系人：</w:t>
      </w:r>
    </w:p>
    <w:p w14:paraId="2E520B21">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7256030">
      <w:pPr>
        <w:pStyle w:val="31"/>
        <w:keepNext w:val="0"/>
        <w:keepLines w:val="0"/>
        <w:pageBreakBefore w:val="0"/>
        <w:widowControl/>
        <w:kinsoku/>
        <w:wordWrap/>
        <w:overflowPunct/>
        <w:topLinePunct w:val="0"/>
        <w:autoSpaceDE/>
        <w:autoSpaceDN/>
        <w:bidi w:val="0"/>
        <w:adjustRightInd/>
        <w:snapToGrid/>
        <w:spacing w:line="600" w:lineRule="auto"/>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68678A41">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DEE98E9">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274E561A">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5A21439F">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6B72BA7F">
      <w:pPr>
        <w:pStyle w:val="31"/>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Times New Roman" w:hAnsi="Times New Roman" w:cs="Times New Roman"/>
          <w:b w:val="0"/>
          <w:color w:val="000000" w:themeColor="text1"/>
          <w:sz w:val="24"/>
          <w:szCs w:val="24"/>
          <w:lang w:val="en-US" w:eastAsia="zh-CN" w:bidi="ar-SA"/>
          <w14:textFill>
            <w14:solidFill>
              <w14:schemeClr w14:val="tx1"/>
            </w14:solidFill>
          </w14:textFill>
        </w:rPr>
      </w:pPr>
    </w:p>
    <w:p w14:paraId="526FEF95">
      <w:pPr>
        <w:spacing w:before="100" w:beforeAutospacing="1" w:line="560" w:lineRule="exact"/>
        <w:ind w:left="-160" w:leftChars="-50" w:right="-160" w:rightChars="-50" w:firstLine="480" w:firstLineChars="200"/>
        <w:rPr>
          <w:rFonts w:hint="default" w:ascii="Times New Roman" w:hAnsi="Times New Roman" w:eastAsia="宋体" w:cs="Times New Roman"/>
          <w:sz w:val="24"/>
          <w:szCs w:val="24"/>
        </w:rPr>
      </w:pPr>
      <w:bookmarkStart w:id="64" w:name="_bookmark147"/>
      <w:bookmarkEnd w:id="64"/>
    </w:p>
    <w:p w14:paraId="06218DC4">
      <w:pPr>
        <w:keepNext w:val="0"/>
        <w:keepLines w:val="0"/>
        <w:pageBreakBefore w:val="0"/>
        <w:kinsoku/>
        <w:wordWrap/>
        <w:overflowPunct/>
        <w:topLinePunct w:val="0"/>
        <w:autoSpaceDE/>
        <w:autoSpaceDN/>
        <w:bidi w:val="0"/>
        <w:adjustRightInd/>
        <w:snapToGrid/>
        <w:spacing w:before="100" w:beforeAutospacing="1" w:line="510" w:lineRule="exact"/>
        <w:ind w:left="-160" w:leftChars="-50" w:right="-160" w:rightChars="-50" w:firstLine="480" w:firstLineChars="200"/>
        <w:rPr>
          <w:rFonts w:hint="default" w:ascii="Times New Roman" w:hAnsi="Times New Roman" w:eastAsia="宋体" w:cs="Times New Roman"/>
          <w:sz w:val="28"/>
          <w:szCs w:val="28"/>
        </w:rPr>
      </w:pPr>
      <w:r>
        <w:rPr>
          <w:rFonts w:hint="default" w:ascii="Times New Roman" w:hAnsi="Times New Roman" w:eastAsia="宋体" w:cs="Times New Roman"/>
          <w:sz w:val="24"/>
          <w:szCs w:val="24"/>
        </w:rPr>
        <w:t>根据《中华人民共和国</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"http://hetongfa.yjbys.com/"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民法典</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及其他</w:t>
      </w:r>
      <w:r>
        <w:rPr>
          <w:rFonts w:hint="default" w:ascii="Times New Roman" w:hAnsi="Times New Roman" w:eastAsia="宋体" w:cs="Times New Roman"/>
          <w:sz w:val="24"/>
          <w:szCs w:val="24"/>
        </w:rPr>
        <w:t>有关法律、法规规定，甲、乙双方本着平等、自愿、公平、互惠互利和诚实守信的原则，就甲方</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采购的有关事宜协商一致签署本合同，以便共同遵守。</w:t>
      </w:r>
    </w:p>
    <w:p w14:paraId="301459C4">
      <w:pPr>
        <w:keepNext w:val="0"/>
        <w:keepLines w:val="0"/>
        <w:pageBreakBefore w:val="0"/>
        <w:numPr>
          <w:ilvl w:val="0"/>
          <w:numId w:val="4"/>
        </w:numPr>
        <w:kinsoku/>
        <w:wordWrap/>
        <w:overflowPunct/>
        <w:topLinePunct w:val="0"/>
        <w:autoSpaceDE/>
        <w:autoSpaceDN/>
        <w:bidi w:val="0"/>
        <w:adjustRightInd/>
        <w:snapToGrid/>
        <w:spacing w:line="510" w:lineRule="exact"/>
        <w:ind w:left="-160" w:leftChars="-50" w:right="-160" w:rightChars="-50"/>
        <w:rPr>
          <w:rFonts w:hint="default" w:ascii="Times New Roman" w:hAnsi="Times New Roman" w:eastAsia="宋体" w:cs="Times New Roman"/>
          <w:b/>
          <w:sz w:val="28"/>
          <w:szCs w:val="28"/>
        </w:rPr>
      </w:pPr>
      <w:r>
        <w:rPr>
          <w:rFonts w:hint="default" w:ascii="Times New Roman" w:hAnsi="Times New Roman" w:cs="Times New Roman"/>
          <w:b/>
          <w:sz w:val="28"/>
          <w:szCs w:val="28"/>
          <w:lang w:val="en-US" w:eastAsia="zh-CN"/>
        </w:rPr>
        <w:t>试剂耗材</w:t>
      </w:r>
      <w:r>
        <w:rPr>
          <w:rFonts w:hint="default" w:ascii="Times New Roman" w:hAnsi="Times New Roman" w:eastAsia="宋体" w:cs="Times New Roman"/>
          <w:b/>
          <w:sz w:val="28"/>
          <w:szCs w:val="28"/>
        </w:rPr>
        <w:t>品种及其价格</w:t>
      </w:r>
    </w:p>
    <w:p w14:paraId="20A80D54">
      <w:pPr>
        <w:keepNext w:val="0"/>
        <w:keepLines w:val="0"/>
        <w:pageBreakBefore w:val="0"/>
        <w:kinsoku/>
        <w:wordWrap/>
        <w:overflowPunct/>
        <w:topLinePunct w:val="0"/>
        <w:autoSpaceDE/>
        <w:autoSpaceDN/>
        <w:bidi w:val="0"/>
        <w:adjustRightInd/>
        <w:snapToGrid/>
        <w:spacing w:line="510" w:lineRule="exact"/>
        <w:ind w:right="-160" w:rightChars="-50" w:firstLine="504" w:firstLineChars="200"/>
        <w:rPr>
          <w:rFonts w:hint="default" w:ascii="Times New Roman" w:hAnsi="Times New Roman" w:eastAsia="宋体" w:cs="Times New Roman"/>
          <w:b/>
          <w:sz w:val="24"/>
          <w:szCs w:val="24"/>
        </w:rPr>
      </w:pPr>
      <w:r>
        <w:rPr>
          <w:rFonts w:hint="default" w:ascii="Times New Roman" w:hAnsi="Times New Roman" w:eastAsia="宋体" w:cs="Times New Roman"/>
          <w:color w:val="000000"/>
          <w:spacing w:val="6"/>
          <w:sz w:val="24"/>
          <w:szCs w:val="24"/>
        </w:rPr>
        <w:t>甲方采购的产品名称、生产厂家、注册证号、规格型号、</w:t>
      </w:r>
      <w:r>
        <w:rPr>
          <w:rFonts w:hint="default" w:ascii="Times New Roman" w:hAnsi="Times New Roman" w:eastAsia="宋体" w:cs="Times New Roman"/>
          <w:color w:val="000000"/>
          <w:spacing w:val="6"/>
          <w:sz w:val="24"/>
          <w:szCs w:val="24"/>
          <w:lang w:eastAsia="zh-CN"/>
        </w:rPr>
        <w:t>投标报价</w:t>
      </w:r>
      <w:r>
        <w:rPr>
          <w:rFonts w:hint="default" w:ascii="Times New Roman" w:hAnsi="Times New Roman" w:eastAsia="宋体" w:cs="Times New Roman"/>
          <w:color w:val="000000"/>
          <w:spacing w:val="6"/>
          <w:sz w:val="24"/>
          <w:szCs w:val="24"/>
        </w:rPr>
        <w:t>等如下：</w:t>
      </w:r>
    </w:p>
    <w:tbl>
      <w:tblPr>
        <w:tblStyle w:val="1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95"/>
        <w:gridCol w:w="1787"/>
        <w:gridCol w:w="1665"/>
        <w:gridCol w:w="1812"/>
        <w:gridCol w:w="857"/>
        <w:gridCol w:w="1335"/>
      </w:tblGrid>
      <w:tr w14:paraId="654F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30" w:type="dxa"/>
            <w:vAlign w:val="center"/>
          </w:tcPr>
          <w:p w14:paraId="4B7D46FC">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1695" w:type="dxa"/>
            <w:vAlign w:val="center"/>
          </w:tcPr>
          <w:p w14:paraId="00E894CA">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产品名称</w:t>
            </w:r>
          </w:p>
        </w:tc>
        <w:tc>
          <w:tcPr>
            <w:tcW w:w="1787" w:type="dxa"/>
            <w:vAlign w:val="center"/>
          </w:tcPr>
          <w:p w14:paraId="6FEDBB9C">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生产厂家</w:t>
            </w:r>
          </w:p>
        </w:tc>
        <w:tc>
          <w:tcPr>
            <w:tcW w:w="1665" w:type="dxa"/>
            <w:vAlign w:val="center"/>
          </w:tcPr>
          <w:p w14:paraId="3C485171">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注册证号或备案凭证</w:t>
            </w:r>
          </w:p>
        </w:tc>
        <w:tc>
          <w:tcPr>
            <w:tcW w:w="1812" w:type="dxa"/>
            <w:vAlign w:val="center"/>
          </w:tcPr>
          <w:p w14:paraId="1D7869BF">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规格型号</w:t>
            </w:r>
          </w:p>
        </w:tc>
        <w:tc>
          <w:tcPr>
            <w:tcW w:w="857" w:type="dxa"/>
            <w:vAlign w:val="center"/>
          </w:tcPr>
          <w:p w14:paraId="3483E936">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单位</w:t>
            </w:r>
          </w:p>
        </w:tc>
        <w:tc>
          <w:tcPr>
            <w:tcW w:w="1335" w:type="dxa"/>
            <w:vAlign w:val="center"/>
          </w:tcPr>
          <w:p w14:paraId="4057FF20">
            <w:pPr>
              <w:keepNext w:val="0"/>
              <w:keepLines w:val="0"/>
              <w:pageBreakBefore w:val="0"/>
              <w:kinsoku/>
              <w:wordWrap/>
              <w:overflowPunct/>
              <w:topLinePunct w:val="0"/>
              <w:autoSpaceDE/>
              <w:autoSpaceDN/>
              <w:bidi w:val="0"/>
              <w:adjustRightInd/>
              <w:snapToGrid/>
              <w:spacing w:line="510" w:lineRule="exact"/>
              <w:jc w:val="center"/>
              <w:rPr>
                <w:rFonts w:hint="default"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供货价格</w:t>
            </w:r>
            <w:r>
              <w:rPr>
                <w:rFonts w:hint="default" w:ascii="Times New Roman" w:hAnsi="Times New Roman" w:eastAsia="宋体" w:cs="Times New Roman"/>
                <w:b/>
                <w:sz w:val="24"/>
                <w:szCs w:val="24"/>
              </w:rPr>
              <w:t xml:space="preserve">   （元）</w:t>
            </w:r>
          </w:p>
        </w:tc>
      </w:tr>
      <w:tr w14:paraId="720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30" w:type="dxa"/>
            <w:vAlign w:val="center"/>
          </w:tcPr>
          <w:p w14:paraId="054AA656">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p>
        </w:tc>
        <w:tc>
          <w:tcPr>
            <w:tcW w:w="1695" w:type="dxa"/>
            <w:vAlign w:val="center"/>
          </w:tcPr>
          <w:p w14:paraId="61C2C8D4">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72106E81">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3AD1B057">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239E3BE2">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47B5AA91">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056D766A">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08D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1A056B40">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p>
        </w:tc>
        <w:tc>
          <w:tcPr>
            <w:tcW w:w="1695" w:type="dxa"/>
            <w:vAlign w:val="center"/>
          </w:tcPr>
          <w:p w14:paraId="1F062352">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4DBEBDCF">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09043B4D">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585A019A">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387D7AB4">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4479EAE3">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507F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5582571E">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3</w:t>
            </w:r>
          </w:p>
        </w:tc>
        <w:tc>
          <w:tcPr>
            <w:tcW w:w="1695" w:type="dxa"/>
            <w:vAlign w:val="center"/>
          </w:tcPr>
          <w:p w14:paraId="599E450D">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7629472B">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74F70B0B">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5F32D087">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60E9001D">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520A5A23">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r w14:paraId="5796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30" w:type="dxa"/>
            <w:vAlign w:val="center"/>
          </w:tcPr>
          <w:p w14:paraId="234669F2">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p>
        </w:tc>
        <w:tc>
          <w:tcPr>
            <w:tcW w:w="1695" w:type="dxa"/>
            <w:vAlign w:val="center"/>
          </w:tcPr>
          <w:p w14:paraId="198B3735">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
                <w:color w:val="000000" w:themeColor="text1"/>
                <w:sz w:val="24"/>
                <w:szCs w:val="24"/>
                <w14:textFill>
                  <w14:solidFill>
                    <w14:schemeClr w14:val="tx1"/>
                  </w14:solidFill>
                </w14:textFill>
              </w:rPr>
            </w:pPr>
          </w:p>
        </w:tc>
        <w:tc>
          <w:tcPr>
            <w:tcW w:w="1787" w:type="dxa"/>
            <w:vAlign w:val="center"/>
          </w:tcPr>
          <w:p w14:paraId="3F32ED5C">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665" w:type="dxa"/>
            <w:vAlign w:val="center"/>
          </w:tcPr>
          <w:p w14:paraId="3BFE1E42">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1812" w:type="dxa"/>
            <w:vAlign w:val="center"/>
          </w:tcPr>
          <w:p w14:paraId="68A66685">
            <w:pPr>
              <w:keepNext w:val="0"/>
              <w:keepLines w:val="0"/>
              <w:pageBreakBefore w:val="0"/>
              <w:widowControl/>
              <w:kinsoku/>
              <w:wordWrap/>
              <w:overflowPunct/>
              <w:topLinePunct w:val="0"/>
              <w:autoSpaceDE/>
              <w:autoSpaceDN/>
              <w:bidi w:val="0"/>
              <w:adjustRightInd/>
              <w:snapToGrid/>
              <w:spacing w:line="510" w:lineRule="exact"/>
              <w:jc w:val="left"/>
              <w:textAlignment w:val="center"/>
              <w:rPr>
                <w:rFonts w:hint="default" w:ascii="Times New Roman" w:hAnsi="Times New Roman" w:eastAsia="宋体" w:cs="Times New Roman"/>
                <w:bCs/>
                <w:color w:val="000000" w:themeColor="text1"/>
                <w:sz w:val="24"/>
                <w:szCs w:val="24"/>
                <w14:textFill>
                  <w14:solidFill>
                    <w14:schemeClr w14:val="tx1"/>
                  </w14:solidFill>
                </w14:textFill>
              </w:rPr>
            </w:pPr>
          </w:p>
        </w:tc>
        <w:tc>
          <w:tcPr>
            <w:tcW w:w="857" w:type="dxa"/>
            <w:vAlign w:val="center"/>
          </w:tcPr>
          <w:p w14:paraId="7B494A7B">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lang w:eastAsia="zh-CN"/>
                <w14:textFill>
                  <w14:solidFill>
                    <w14:schemeClr w14:val="tx1"/>
                  </w14:solidFill>
                </w14:textFill>
              </w:rPr>
            </w:pPr>
          </w:p>
        </w:tc>
        <w:tc>
          <w:tcPr>
            <w:tcW w:w="1335" w:type="dxa"/>
            <w:vAlign w:val="center"/>
          </w:tcPr>
          <w:p w14:paraId="55F06240">
            <w:pPr>
              <w:keepNext w:val="0"/>
              <w:keepLines w:val="0"/>
              <w:pageBreakBefore w:val="0"/>
              <w:widowControl/>
              <w:kinsoku/>
              <w:wordWrap/>
              <w:overflowPunct/>
              <w:topLinePunct w:val="0"/>
              <w:autoSpaceDE/>
              <w:autoSpaceDN/>
              <w:bidi w:val="0"/>
              <w:adjustRightInd/>
              <w:snapToGrid/>
              <w:spacing w:line="510" w:lineRule="exact"/>
              <w:jc w:val="center"/>
              <w:textAlignment w:val="center"/>
              <w:rPr>
                <w:rFonts w:hint="default" w:ascii="Times New Roman" w:hAnsi="Times New Roman" w:eastAsia="宋体" w:cs="Times New Roman"/>
                <w:bCs/>
                <w:color w:val="000000" w:themeColor="text1"/>
                <w:kern w:val="0"/>
                <w:sz w:val="24"/>
                <w:szCs w:val="24"/>
                <w14:textFill>
                  <w14:solidFill>
                    <w14:schemeClr w14:val="tx1"/>
                  </w14:solidFill>
                </w14:textFill>
              </w:rPr>
            </w:pPr>
          </w:p>
        </w:tc>
      </w:tr>
    </w:tbl>
    <w:p w14:paraId="6615321D">
      <w:pPr>
        <w:keepNext w:val="0"/>
        <w:keepLines w:val="0"/>
        <w:pageBreakBefore w:val="0"/>
        <w:kinsoku/>
        <w:wordWrap/>
        <w:overflowPunct/>
        <w:topLinePunct w:val="0"/>
        <w:autoSpaceDE/>
        <w:autoSpaceDN/>
        <w:bidi w:val="0"/>
        <w:adjustRightInd/>
        <w:snapToGrid/>
        <w:spacing w:line="510" w:lineRule="exact"/>
        <w:ind w:left="-160" w:leftChars="-50" w:right="-160" w:rightChars="-50"/>
        <w:rPr>
          <w:rFonts w:hint="default" w:ascii="Times New Roman" w:hAnsi="Times New Roman" w:eastAsia="宋体" w:cs="Times New Roman"/>
          <w:b/>
          <w:color w:val="000000"/>
          <w:spacing w:val="6"/>
          <w:sz w:val="28"/>
          <w:szCs w:val="28"/>
        </w:rPr>
      </w:pPr>
      <w:r>
        <w:rPr>
          <w:rFonts w:hint="default" w:ascii="Times New Roman" w:hAnsi="Times New Roman" w:eastAsia="宋体" w:cs="Times New Roman"/>
          <w:b/>
          <w:color w:val="000000"/>
          <w:spacing w:val="6"/>
          <w:sz w:val="28"/>
          <w:szCs w:val="28"/>
        </w:rPr>
        <w:t>二、订货方式、配送要求</w:t>
      </w:r>
    </w:p>
    <w:p w14:paraId="42CEDF13">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为了确保供货的及时性或开单的准确性，甲方以邮件、QQ、微信、短信、传真、电话等任意一种方式给乙方下订单，订单需包含</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品名、规格、单位、数量、价格、厂家，便于乙方准确开单出货，特殊要求须在订单上写好备注。</w:t>
      </w:r>
    </w:p>
    <w:p w14:paraId="77CC2261">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14:paraId="534D0E0C">
      <w:pPr>
        <w:keepNext w:val="0"/>
        <w:keepLines w:val="0"/>
        <w:pageBreakBefore w:val="0"/>
        <w:kinsoku/>
        <w:wordWrap/>
        <w:overflowPunct/>
        <w:topLinePunct w:val="0"/>
        <w:autoSpaceDE/>
        <w:autoSpaceDN/>
        <w:bidi w:val="0"/>
        <w:adjustRightInd/>
        <w:snapToGrid/>
        <w:spacing w:line="510" w:lineRule="exact"/>
        <w:ind w:left="-160" w:leftChars="-50" w:right="-160" w:rightChars="-50" w:firstLine="58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rPr>
        <w:t>乙方在收到甲方订单后应及时响应，除因交通中断等不可抗力特殊情况外，</w:t>
      </w:r>
      <w:r>
        <w:rPr>
          <w:rFonts w:hint="default" w:ascii="Times New Roman" w:hAnsi="Times New Roman" w:eastAsia="宋体" w:cs="Times New Roman"/>
          <w:sz w:val="24"/>
          <w:szCs w:val="24"/>
          <w:lang w:val="en-US" w:eastAsia="zh-CN"/>
        </w:rPr>
        <w:t>接到订单后，中标方正常情况下48小时内送达采购人指定地点，特殊情况不得超过72小时，加急情况下需24小时内送达，特殊情况下节假日照常配送</w:t>
      </w:r>
      <w:r>
        <w:rPr>
          <w:rFonts w:hint="default" w:ascii="Times New Roman" w:hAnsi="Times New Roman" w:eastAsia="宋体" w:cs="Times New Roman"/>
          <w:sz w:val="24"/>
          <w:szCs w:val="24"/>
        </w:rPr>
        <w:t>，特殊情况下节假日照常配送。若因乙方原因造成未及时配送，影响科室开展业务，乙方应承担因此给甲方造成的损失，且甲方有权终止合同。乙方配送时需将货品、随货单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、发票一起交付甲方。</w:t>
      </w:r>
    </w:p>
    <w:p w14:paraId="4BEFB6FC">
      <w:pPr>
        <w:keepNext w:val="0"/>
        <w:keepLines w:val="0"/>
        <w:pageBreakBefore w:val="0"/>
        <w:kinsoku/>
        <w:wordWrap/>
        <w:overflowPunct/>
        <w:topLinePunct w:val="0"/>
        <w:autoSpaceDE/>
        <w:autoSpaceDN/>
        <w:bidi w:val="0"/>
        <w:adjustRightInd/>
        <w:snapToGrid/>
        <w:spacing w:line="510" w:lineRule="exact"/>
        <w:ind w:left="-160" w:leftChars="-50" w:right="-160" w:rightChars="-50" w:firstLine="585"/>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配送地点：大理市</w:t>
      </w:r>
      <w:r>
        <w:rPr>
          <w:rFonts w:hint="default" w:ascii="Times New Roman" w:hAnsi="Times New Roman" w:eastAsia="宋体" w:cs="Times New Roman"/>
          <w:sz w:val="24"/>
          <w:szCs w:val="24"/>
          <w:lang w:val="en-US" w:eastAsia="zh-CN"/>
        </w:rPr>
        <w:t>满江街道</w:t>
      </w:r>
      <w:r>
        <w:rPr>
          <w:rFonts w:hint="default" w:ascii="Times New Roman" w:hAnsi="Times New Roman" w:eastAsia="宋体" w:cs="Times New Roman"/>
          <w:sz w:val="24"/>
          <w:szCs w:val="24"/>
        </w:rPr>
        <w:t>红山路与太和路交汇处大理州第二人民医院</w:t>
      </w:r>
    </w:p>
    <w:p w14:paraId="17B8AAC9">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三、质量保证</w:t>
      </w:r>
    </w:p>
    <w:p w14:paraId="5A02C9C3">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乙方所配送</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必须为原厂商未启封全新包装，</w:t>
      </w:r>
      <w:r>
        <w:rPr>
          <w:rFonts w:hint="default" w:ascii="Times New Roman" w:hAnsi="Times New Roman" w:eastAsia="宋体" w:cs="Times New Roman"/>
          <w:b/>
          <w:sz w:val="24"/>
          <w:szCs w:val="24"/>
          <w:u w:val="single"/>
        </w:rPr>
        <w:t>具有出厂合格证</w:t>
      </w:r>
      <w:r>
        <w:rPr>
          <w:rFonts w:hint="default" w:ascii="Times New Roman" w:hAnsi="Times New Roman" w:eastAsia="宋体" w:cs="Times New Roman"/>
          <w:sz w:val="24"/>
          <w:szCs w:val="24"/>
        </w:rPr>
        <w:t>，且不属于长期积压的库存商品，完全符合国家标准或其原厂最新颁布的相应的正式标准，且乙方供应的试剂有效期为总有效期的2/3以上。</w:t>
      </w:r>
    </w:p>
    <w:p w14:paraId="3AC4442A">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乙方须保证甲方在使用该</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14:paraId="2EDC23F7">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lang w:eastAsia="zh-CN"/>
        </w:rPr>
        <w:t>（三）</w:t>
      </w:r>
      <w:r>
        <w:rPr>
          <w:rFonts w:hint="default" w:ascii="Times New Roman" w:hAnsi="Times New Roman" w:eastAsia="宋体" w:cs="Times New Roman"/>
          <w:sz w:val="24"/>
          <w:szCs w:val="24"/>
        </w:rPr>
        <w:t>因产品存在质量缺陷，该产品生产企业执行产品召回的，甲、乙双方有义务配合生产企业对产品进行召回。</w:t>
      </w:r>
    </w:p>
    <w:p w14:paraId="7C6E652C">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因质量原因而产生的经济和法律责任均由乙方承担。</w:t>
      </w:r>
    </w:p>
    <w:p w14:paraId="7CC1D4CC">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四、甲方的义务和权利</w:t>
      </w:r>
    </w:p>
    <w:p w14:paraId="79C7AB14">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甲方正在使用的清单耗材（详细品牌、型号、规格、价格清单附后）按照不高于合同约定价格向乙方采购。 若后期因国家政策变动，</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lang w:eastAsia="zh-CN"/>
        </w:rPr>
        <w:t>品</w:t>
      </w:r>
      <w:r>
        <w:rPr>
          <w:rFonts w:hint="default" w:ascii="Times New Roman" w:hAnsi="Times New Roman" w:eastAsia="宋体" w:cs="Times New Roman"/>
          <w:sz w:val="24"/>
          <w:szCs w:val="24"/>
        </w:rPr>
        <w:t>价格变动，则按照国家政策要求进行价格调整后采购。</w:t>
      </w:r>
    </w:p>
    <w:p w14:paraId="33808A9D">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甲方</w:t>
      </w:r>
      <w:r>
        <w:rPr>
          <w:rFonts w:hint="default" w:ascii="Times New Roman" w:hAnsi="Times New Roman" w:eastAsia="宋体" w:cs="Times New Roman"/>
          <w:sz w:val="24"/>
          <w:szCs w:val="24"/>
          <w:lang w:eastAsia="zh-CN"/>
        </w:rPr>
        <w:t>收到</w:t>
      </w:r>
      <w:r>
        <w:rPr>
          <w:rFonts w:hint="default" w:ascii="Times New Roman" w:hAnsi="Times New Roman" w:eastAsia="宋体" w:cs="Times New Roman"/>
          <w:sz w:val="24"/>
          <w:szCs w:val="24"/>
        </w:rPr>
        <w:t>乙方配送的</w:t>
      </w:r>
      <w:r>
        <w:rPr>
          <w:rFonts w:hint="default" w:ascii="Times New Roman" w:hAnsi="Times New Roman" w:eastAsia="宋体" w:cs="Times New Roman"/>
          <w:sz w:val="24"/>
          <w:szCs w:val="24"/>
          <w:lang w:val="en-US" w:eastAsia="zh-CN"/>
        </w:rPr>
        <w:t>试剂耗材后</w:t>
      </w:r>
      <w:r>
        <w:rPr>
          <w:rFonts w:hint="default" w:ascii="Times New Roman" w:hAnsi="Times New Roman" w:eastAsia="宋体" w:cs="Times New Roman"/>
          <w:sz w:val="24"/>
          <w:szCs w:val="24"/>
          <w:lang w:eastAsia="zh-CN"/>
        </w:rPr>
        <w:t>按照</w:t>
      </w:r>
      <w:r>
        <w:rPr>
          <w:rFonts w:hint="default" w:ascii="Times New Roman" w:hAnsi="Times New Roman" w:eastAsia="宋体" w:cs="Times New Roman"/>
          <w:sz w:val="24"/>
          <w:szCs w:val="24"/>
        </w:rPr>
        <w:t>实际数量及随货单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rPr>
        <w:t>乙方开具的正式发票</w:t>
      </w:r>
      <w:r>
        <w:rPr>
          <w:rFonts w:hint="eastAsia" w:ascii="Times New Roman" w:hAnsi="Times New Roman" w:eastAsia="宋体" w:cs="Times New Roman"/>
          <w:sz w:val="24"/>
          <w:szCs w:val="24"/>
          <w:lang w:val="en-US" w:eastAsia="zh-CN"/>
        </w:rPr>
        <w:t>60日或90日</w:t>
      </w:r>
      <w:r>
        <w:rPr>
          <w:rFonts w:hint="default" w:ascii="Times New Roman" w:hAnsi="Times New Roman" w:eastAsia="宋体" w:cs="Times New Roman"/>
          <w:sz w:val="24"/>
          <w:szCs w:val="24"/>
        </w:rPr>
        <w:t>内付款</w:t>
      </w:r>
      <w:r>
        <w:rPr>
          <w:rFonts w:hint="default" w:ascii="Times New Roman" w:hAnsi="Times New Roman" w:eastAsia="宋体" w:cs="Times New Roman"/>
          <w:sz w:val="24"/>
          <w:szCs w:val="24"/>
          <w:lang w:eastAsia="zh-CN"/>
        </w:rPr>
        <w:t>。</w:t>
      </w:r>
    </w:p>
    <w:p w14:paraId="4E1B8855">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rPr>
        <w:t>因甲方对产品存储、管理不当或甲方自行改装、人为操作不当等因素造成产品质量异常的，由此造成的损失由甲方承担；甲方验收合格后，非质量问题通常情况乙方不接受退换货，但遇特殊政策变动，甲方</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14:paraId="29C04F16">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在遇到国家或上级有关部门进行政策性调整，甲方得知调整政策后，通知乙方，双方根据政策执行，若致使本合同不能进行，甲方可在3个月内单方终止本合同，乙方应予以谅解、支持。</w:t>
      </w:r>
    </w:p>
    <w:p w14:paraId="5FA81B5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五、乙方的义务和权利</w:t>
      </w:r>
    </w:p>
    <w:p w14:paraId="5A4C600B">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乙方负责甲方所使用</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以及相关检验设备的产品技术支持。</w:t>
      </w:r>
    </w:p>
    <w:p w14:paraId="66784E2C">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乙方不得随意变更甲方所使用的</w:t>
      </w:r>
      <w:r>
        <w:rPr>
          <w:rFonts w:hint="default" w:ascii="Times New Roman" w:hAnsi="Times New Roman" w:eastAsia="宋体" w:cs="Times New Roman"/>
          <w:sz w:val="24"/>
          <w:szCs w:val="24"/>
          <w:lang w:eastAsia="zh-CN"/>
        </w:rPr>
        <w:t>卫生材料和医用低值易耗品</w:t>
      </w:r>
      <w:r>
        <w:rPr>
          <w:rFonts w:hint="default" w:ascii="Times New Roman" w:hAnsi="Times New Roman" w:eastAsia="宋体" w:cs="Times New Roman"/>
          <w:sz w:val="24"/>
          <w:szCs w:val="24"/>
        </w:rPr>
        <w:t>的品牌、型号、价格，但甲方提出</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与设备不匹配，需更换品牌型号时，乙方需按照甲方要求进行更换，且更换同型号产品供货单价不变。</w:t>
      </w:r>
    </w:p>
    <w:p w14:paraId="12E03133">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（三）</w:t>
      </w:r>
      <w:r>
        <w:rPr>
          <w:rFonts w:hint="default" w:ascii="Times New Roman" w:hAnsi="Times New Roman" w:eastAsia="宋体" w:cs="Times New Roman"/>
          <w:sz w:val="24"/>
          <w:szCs w:val="24"/>
          <w:lang w:val="en-US" w:eastAsia="zh-CN"/>
        </w:rPr>
        <w:t>所有产品</w:t>
      </w:r>
      <w:r>
        <w:rPr>
          <w:rFonts w:hint="default" w:ascii="Times New Roman" w:hAnsi="Times New Roman" w:eastAsia="宋体" w:cs="Times New Roman"/>
          <w:sz w:val="24"/>
          <w:szCs w:val="24"/>
        </w:rPr>
        <w:t>应使用原厂包装物并必须符合国家有关规定；乙方提供的</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均应提供适当额外包装，以防止</w:t>
      </w:r>
      <w:r>
        <w:rPr>
          <w:rFonts w:hint="default" w:ascii="Times New Roman" w:hAnsi="Times New Roman" w:eastAsia="宋体" w:cs="Times New Roman"/>
          <w:sz w:val="24"/>
          <w:szCs w:val="24"/>
          <w:lang w:val="en-US" w:eastAsia="zh-CN"/>
        </w:rPr>
        <w:t>试剂耗材</w:t>
      </w:r>
      <w:r>
        <w:rPr>
          <w:rFonts w:hint="default" w:ascii="Times New Roman" w:hAnsi="Times New Roman" w:eastAsia="宋体" w:cs="Times New Roman"/>
          <w:sz w:val="24"/>
          <w:szCs w:val="24"/>
        </w:rPr>
        <w:t>在转运中损坏或变质，包装应能够适应远距离运输、防潮、防震、防变质、防野蛮装卸，以确保</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安全无损运抵指定地点，额外包装不得另行收费。</w:t>
      </w:r>
    </w:p>
    <w:p w14:paraId="4A77CB0A">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（四）</w:t>
      </w:r>
      <w:r>
        <w:rPr>
          <w:rFonts w:hint="default" w:ascii="Times New Roman" w:hAnsi="Times New Roman" w:eastAsia="宋体" w:cs="Times New Roman"/>
          <w:sz w:val="24"/>
          <w:szCs w:val="24"/>
        </w:rPr>
        <w:t>乙方需提供所供</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的生产厂家营业执照、医疗器械生产许可证、注册证或备案凭证及乙方营业执照、医疗器械经营许可证等相关资质，交货时乙方应当提供同批号</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的检验报告等材料。</w:t>
      </w:r>
    </w:p>
    <w:p w14:paraId="0E09768C">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（五）</w:t>
      </w:r>
      <w:r>
        <w:rPr>
          <w:rFonts w:hint="default" w:ascii="Times New Roman" w:hAnsi="Times New Roman" w:eastAsia="宋体" w:cs="Times New Roman"/>
          <w:sz w:val="24"/>
          <w:szCs w:val="24"/>
        </w:rPr>
        <w:t>乙方全权负责</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的质量问题，有义务向甲方提供所需的产品资质文件。</w:t>
      </w:r>
    </w:p>
    <w:p w14:paraId="44DDC0CF">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（六）</w:t>
      </w:r>
      <w:r>
        <w:rPr>
          <w:rFonts w:hint="default" w:ascii="Times New Roman" w:hAnsi="Times New Roman" w:eastAsia="宋体" w:cs="Times New Roman"/>
          <w:sz w:val="24"/>
          <w:szCs w:val="24"/>
        </w:rPr>
        <w:t>遇上级部门对甲方部分</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抽查检定不合格的样品由乙方负责免费更换同批次所有</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，因产品质量问题造成的一切损失由乙方负责。</w:t>
      </w:r>
    </w:p>
    <w:p w14:paraId="54102DD7">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eastAsia="zh-CN"/>
        </w:rPr>
        <w:t>（七）</w:t>
      </w:r>
      <w:r>
        <w:rPr>
          <w:rFonts w:hint="default" w:ascii="Times New Roman" w:hAnsi="Times New Roman" w:eastAsia="宋体" w:cs="Times New Roman"/>
          <w:kern w:val="0"/>
          <w:sz w:val="24"/>
          <w:szCs w:val="24"/>
        </w:rPr>
        <w:t>有特殊储运要求的</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kern w:val="0"/>
          <w:sz w:val="24"/>
          <w:szCs w:val="24"/>
        </w:rPr>
        <w:t>乙方需按照要求进行配送，并提供整个配送过程中的相应记录。</w:t>
      </w:r>
    </w:p>
    <w:p w14:paraId="030A9123">
      <w:pPr>
        <w:keepNext w:val="0"/>
        <w:keepLines w:val="0"/>
        <w:pageBreakBefore w:val="0"/>
        <w:kinsoku/>
        <w:wordWrap/>
        <w:overflowPunct/>
        <w:topLinePunct w:val="0"/>
        <w:autoSpaceDE/>
        <w:autoSpaceDN/>
        <w:bidi w:val="0"/>
        <w:adjustRightInd/>
        <w:snapToGrid/>
        <w:spacing w:line="510" w:lineRule="exact"/>
        <w:ind w:left="-160" w:leftChars="-50" w:right="-160" w:rightChars="-50" w:firstLine="585"/>
        <w:textAlignment w:val="auto"/>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4"/>
          <w:szCs w:val="24"/>
          <w:lang w:eastAsia="zh-CN"/>
        </w:rPr>
        <w:t>（八）</w:t>
      </w:r>
      <w:r>
        <w:rPr>
          <w:rFonts w:hint="default" w:ascii="Times New Roman" w:hAnsi="Times New Roman" w:eastAsia="宋体" w:cs="Times New Roman"/>
          <w:sz w:val="24"/>
          <w:szCs w:val="24"/>
        </w:rPr>
        <w:t>乙方配送</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时需将货品、随货单</w:t>
      </w:r>
      <w:r>
        <w:rPr>
          <w:rFonts w:hint="default" w:ascii="Times New Roman" w:hAnsi="Times New Roman" w:eastAsia="宋体" w:cs="Times New Roman"/>
          <w:sz w:val="24"/>
          <w:szCs w:val="24"/>
          <w:lang w:eastAsia="zh-CN"/>
        </w:rPr>
        <w:t>（出库单）</w:t>
      </w:r>
      <w:r>
        <w:rPr>
          <w:rFonts w:hint="default" w:ascii="Times New Roman" w:hAnsi="Times New Roman" w:eastAsia="宋体" w:cs="Times New Roman"/>
          <w:sz w:val="24"/>
          <w:szCs w:val="24"/>
        </w:rPr>
        <w:t>、发票</w:t>
      </w:r>
      <w:r>
        <w:rPr>
          <w:rFonts w:hint="default" w:ascii="Times New Roman" w:hAnsi="Times New Roman" w:eastAsia="宋体" w:cs="Times New Roman"/>
          <w:sz w:val="24"/>
          <w:szCs w:val="24"/>
          <w:lang w:eastAsia="zh-CN"/>
        </w:rPr>
        <w:t>同时</w:t>
      </w:r>
      <w:r>
        <w:rPr>
          <w:rFonts w:hint="default" w:ascii="Times New Roman" w:hAnsi="Times New Roman" w:eastAsia="宋体" w:cs="Times New Roman"/>
          <w:sz w:val="24"/>
          <w:szCs w:val="24"/>
        </w:rPr>
        <w:t>交付甲方</w:t>
      </w:r>
      <w:r>
        <w:rPr>
          <w:rFonts w:hint="default" w:ascii="Times New Roman" w:hAnsi="Times New Roman" w:eastAsia="宋体" w:cs="Times New Roman"/>
          <w:sz w:val="24"/>
          <w:szCs w:val="24"/>
          <w:lang w:eastAsia="zh-CN"/>
        </w:rPr>
        <w:t>，若无法开具发票时需出具情况说明给甲方，并于次月月初开具发票给甲方</w:t>
      </w:r>
      <w:r>
        <w:rPr>
          <w:rFonts w:hint="default" w:ascii="Times New Roman" w:hAnsi="Times New Roman" w:eastAsia="宋体" w:cs="Times New Roman"/>
          <w:sz w:val="24"/>
          <w:szCs w:val="24"/>
        </w:rPr>
        <w:t>。</w:t>
      </w:r>
    </w:p>
    <w:p w14:paraId="7E2550D0">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六、验收标准</w:t>
      </w:r>
    </w:p>
    <w:p w14:paraId="5833326E">
      <w:pPr>
        <w:keepNext w:val="0"/>
        <w:keepLines w:val="0"/>
        <w:pageBreakBefore w:val="0"/>
        <w:kinsoku/>
        <w:wordWrap/>
        <w:overflowPunct/>
        <w:topLinePunct w:val="0"/>
        <w:autoSpaceDE/>
        <w:autoSpaceDN/>
        <w:bidi w:val="0"/>
        <w:adjustRightInd/>
        <w:snapToGrid/>
        <w:spacing w:line="510" w:lineRule="exact"/>
        <w:ind w:left="-160" w:leftChars="-50" w:right="-160" w:rightChars="-50" w:firstLine="48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14:paraId="391DFD69">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七、售后服务责任</w:t>
      </w:r>
    </w:p>
    <w:p w14:paraId="0314B68F">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w:t>
      </w:r>
      <w:r>
        <w:rPr>
          <w:rFonts w:hint="default" w:ascii="Times New Roman" w:hAnsi="Times New Roman" w:eastAsia="宋体" w:cs="Times New Roman"/>
          <w:sz w:val="24"/>
          <w:szCs w:val="24"/>
        </w:rPr>
        <w:t>在使用期间乙方须免费提供检验技术指导等售后服务，</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使用过程中发生非正常现象，乙方须积极联系解决。</w:t>
      </w:r>
    </w:p>
    <w:p w14:paraId="16408177">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（二）卫</w:t>
      </w:r>
      <w:r>
        <w:rPr>
          <w:rFonts w:hint="default" w:ascii="Times New Roman" w:hAnsi="Times New Roman" w:eastAsia="宋体" w:cs="Times New Roman"/>
          <w:sz w:val="24"/>
          <w:szCs w:val="24"/>
          <w:lang w:val="en-US" w:eastAsia="zh-CN"/>
        </w:rPr>
        <w:t>产品</w:t>
      </w:r>
      <w:r>
        <w:rPr>
          <w:rFonts w:hint="default" w:ascii="Times New Roman" w:hAnsi="Times New Roman" w:eastAsia="宋体" w:cs="Times New Roman"/>
          <w:sz w:val="24"/>
          <w:szCs w:val="24"/>
        </w:rPr>
        <w:t>因运输或厂家质量管理漏洞出现产品质量问题造成失效时，乙方需在7天内更换相关问题产品。</w:t>
      </w:r>
    </w:p>
    <w:p w14:paraId="3FCA4265">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八</w:t>
      </w:r>
      <w:r>
        <w:rPr>
          <w:rFonts w:hint="default" w:ascii="Times New Roman" w:hAnsi="Times New Roman" w:eastAsia="宋体" w:cs="Times New Roman"/>
          <w:sz w:val="28"/>
          <w:szCs w:val="28"/>
        </w:rPr>
        <w:t>、</w:t>
      </w:r>
      <w:r>
        <w:rPr>
          <w:rFonts w:hint="default" w:ascii="Times New Roman" w:hAnsi="Times New Roman" w:eastAsia="宋体" w:cs="Times New Roman"/>
          <w:b/>
          <w:sz w:val="28"/>
          <w:szCs w:val="28"/>
        </w:rPr>
        <w:t>付款方式和时间</w:t>
      </w:r>
    </w:p>
    <w:p w14:paraId="185C77E5">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付款方式</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若供应商规模属于中小微企业类型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：对公转账付款，</w:t>
      </w:r>
      <w:r>
        <w:rPr>
          <w:rFonts w:hint="default" w:ascii="Times New Roman" w:hAnsi="Times New Roman" w:eastAsia="宋体" w:cs="Times New Roman"/>
          <w:sz w:val="24"/>
          <w:szCs w:val="24"/>
          <w:lang w:val="en-US" w:eastAsia="zh-CN"/>
        </w:rPr>
        <w:t>甲方收到乙方配送的试剂耗材后按照实际数量及随货单（出库单）验收入库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lang w:val="en-US" w:eastAsia="zh-CN"/>
        </w:rPr>
        <w:t>乙方开具的正式发票</w:t>
      </w:r>
      <w:r>
        <w:rPr>
          <w:rFonts w:hint="eastAsia" w:ascii="Times New Roman" w:hAnsi="Times New Roman" w:eastAsia="宋体" w:cs="Times New Roman"/>
          <w:sz w:val="24"/>
          <w:szCs w:val="24"/>
          <w:lang w:val="en-US" w:eastAsia="zh-CN"/>
        </w:rPr>
        <w:t>60日</w:t>
      </w:r>
      <w:r>
        <w:rPr>
          <w:rFonts w:hint="default" w:ascii="Times New Roman" w:hAnsi="Times New Roman" w:eastAsia="宋体" w:cs="Times New Roman"/>
          <w:sz w:val="24"/>
          <w:szCs w:val="24"/>
          <w:lang w:val="en-US" w:eastAsia="zh-CN"/>
        </w:rPr>
        <w:t>内付款。</w:t>
      </w:r>
    </w:p>
    <w:p w14:paraId="6AEC57DB">
      <w:pPr>
        <w:keepNext w:val="0"/>
        <w:keepLines w:val="0"/>
        <w:pageBreakBefore w:val="0"/>
        <w:kinsoku/>
        <w:wordWrap/>
        <w:overflowPunct/>
        <w:topLinePunct w:val="0"/>
        <w:autoSpaceDE/>
        <w:autoSpaceDN/>
        <w:bidi w:val="0"/>
        <w:adjustRightInd/>
        <w:snapToGrid/>
        <w:spacing w:line="510" w:lineRule="exact"/>
        <w:ind w:firstLine="480" w:firstLineChars="200"/>
        <w:jc w:val="left"/>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付款方式2（若供应商规模属于大型企业类型）：</w:t>
      </w:r>
      <w:r>
        <w:rPr>
          <w:rFonts w:hint="default" w:ascii="Times New Roman" w:hAnsi="Times New Roman" w:eastAsia="宋体" w:cs="Times New Roman"/>
          <w:sz w:val="24"/>
          <w:szCs w:val="24"/>
        </w:rPr>
        <w:t>对公转账付款，</w:t>
      </w:r>
      <w:r>
        <w:rPr>
          <w:rFonts w:hint="default" w:ascii="Times New Roman" w:hAnsi="Times New Roman" w:eastAsia="宋体" w:cs="Times New Roman"/>
          <w:sz w:val="24"/>
          <w:szCs w:val="24"/>
          <w:lang w:val="en-US" w:eastAsia="zh-CN"/>
        </w:rPr>
        <w:t>甲方收到乙方配送的试剂耗材后按照实际数量及随货单（出库单）验收入库</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依据</w:t>
      </w:r>
      <w:r>
        <w:rPr>
          <w:rFonts w:hint="default" w:ascii="Times New Roman" w:hAnsi="Times New Roman" w:eastAsia="宋体" w:cs="Times New Roman"/>
          <w:sz w:val="24"/>
          <w:szCs w:val="24"/>
          <w:lang w:val="en-US" w:eastAsia="zh-CN"/>
        </w:rPr>
        <w:t>乙方开具的正式发票</w:t>
      </w:r>
      <w:r>
        <w:rPr>
          <w:rFonts w:hint="eastAsia" w:ascii="Times New Roman" w:hAnsi="Times New Roman" w:eastAsia="宋体" w:cs="Times New Roman"/>
          <w:sz w:val="24"/>
          <w:szCs w:val="24"/>
          <w:lang w:val="en-US" w:eastAsia="zh-CN"/>
        </w:rPr>
        <w:t>90日</w:t>
      </w:r>
      <w:r>
        <w:rPr>
          <w:rFonts w:hint="default" w:ascii="Times New Roman" w:hAnsi="Times New Roman" w:eastAsia="宋体" w:cs="Times New Roman"/>
          <w:sz w:val="24"/>
          <w:szCs w:val="24"/>
          <w:lang w:val="en-US" w:eastAsia="zh-CN"/>
        </w:rPr>
        <w:t>内付款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w:t>
      </w:r>
    </w:p>
    <w:p w14:paraId="3B6BECA6">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30"/>
          <w:szCs w:val="30"/>
        </w:rPr>
      </w:pPr>
      <w:r>
        <w:rPr>
          <w:rFonts w:hint="default" w:ascii="Times New Roman" w:hAnsi="Times New Roman" w:eastAsia="宋体" w:cs="Times New Roman"/>
          <w:b/>
          <w:sz w:val="28"/>
          <w:szCs w:val="28"/>
        </w:rPr>
        <w:t>九、</w:t>
      </w:r>
      <w:r>
        <w:rPr>
          <w:rFonts w:hint="default" w:ascii="Times New Roman" w:hAnsi="Times New Roman" w:eastAsia="宋体" w:cs="Times New Roman"/>
          <w:sz w:val="24"/>
          <w:szCs w:val="24"/>
        </w:rPr>
        <w:t>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14:paraId="62324B74">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十、</w:t>
      </w:r>
      <w:r>
        <w:rPr>
          <w:rFonts w:hint="default" w:ascii="Times New Roman" w:hAnsi="Times New Roman" w:eastAsia="宋体" w:cs="Times New Roman"/>
          <w:sz w:val="24"/>
          <w:szCs w:val="24"/>
        </w:rPr>
        <w:t>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14:paraId="141A2251">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bCs/>
          <w:sz w:val="28"/>
          <w:szCs w:val="28"/>
        </w:rPr>
      </w:pPr>
      <w:r>
        <w:rPr>
          <w:rFonts w:hint="default" w:ascii="Times New Roman" w:hAnsi="Times New Roman" w:eastAsia="宋体" w:cs="Times New Roman"/>
          <w:b/>
          <w:sz w:val="28"/>
          <w:szCs w:val="28"/>
        </w:rPr>
        <w:t>十一、</w:t>
      </w:r>
      <w:r>
        <w:rPr>
          <w:rFonts w:hint="default" w:ascii="Times New Roman" w:hAnsi="Times New Roman" w:eastAsia="宋体" w:cs="Times New Roman"/>
          <w:bCs/>
          <w:sz w:val="24"/>
          <w:szCs w:val="24"/>
        </w:rPr>
        <w:t>本合同生效后，如有一方违约，守约方为维护权益，向违约方追偿的一切费用，包括但不限于律师费、诉讼费、保全费、鉴定费、差旅费等由违约方承担。</w:t>
      </w:r>
    </w:p>
    <w:p w14:paraId="43CE0399">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十</w:t>
      </w:r>
      <w:r>
        <w:rPr>
          <w:rFonts w:hint="eastAsia" w:ascii="Times New Roman" w:hAnsi="Times New Roman" w:eastAsia="宋体" w:cs="Times New Roman"/>
          <w:b/>
          <w:sz w:val="28"/>
          <w:szCs w:val="28"/>
          <w:lang w:val="en-US" w:eastAsia="zh-CN"/>
        </w:rPr>
        <w:t>二</w:t>
      </w:r>
      <w:r>
        <w:rPr>
          <w:rFonts w:hint="default" w:ascii="Times New Roman" w:hAnsi="Times New Roman" w:eastAsia="宋体" w:cs="Times New Roman"/>
          <w:b/>
          <w:sz w:val="28"/>
          <w:szCs w:val="28"/>
        </w:rPr>
        <w:t>、</w:t>
      </w:r>
      <w:r>
        <w:rPr>
          <w:rFonts w:hint="eastAsia" w:ascii="Times New Roman" w:hAnsi="Times New Roman" w:eastAsia="宋体" w:cs="Times New Roman"/>
          <w:sz w:val="24"/>
          <w:szCs w:val="24"/>
        </w:rPr>
        <w:t>服务期限两年，合同一年一签，</w:t>
      </w:r>
      <w:r>
        <w:rPr>
          <w:rFonts w:hint="eastAsia" w:ascii="Times New Roman" w:hAnsi="Times New Roman" w:eastAsia="宋体" w:cs="Times New Roman"/>
          <w:sz w:val="24"/>
          <w:szCs w:val="24"/>
          <w:lang w:val="en-US" w:eastAsia="zh-CN"/>
        </w:rPr>
        <w:t>在签订第二年合同前，双方须就供货单价重新进行协商谈判，且新签订的供货单价不得高于上一年度供货单价。若在合同履行期间出现上级政策调整（如集采政策发布等情况），则以最新上级政策规定为准，优先遵照执行。</w:t>
      </w:r>
      <w:r>
        <w:rPr>
          <w:rFonts w:hint="eastAsia" w:ascii="Times New Roman" w:hAnsi="Times New Roman" w:eastAsia="宋体" w:cs="Times New Roman"/>
          <w:bCs/>
          <w:sz w:val="24"/>
          <w:szCs w:val="24"/>
        </w:rPr>
        <w:t>本合同为第</w:t>
      </w:r>
      <w:r>
        <w:rPr>
          <w:rFonts w:hint="eastAsia" w:ascii="Times New Roman" w:hAnsi="Times New Roman" w:eastAsia="宋体" w:cs="Times New Roman"/>
          <w:bCs/>
          <w:sz w:val="24"/>
          <w:szCs w:val="24"/>
          <w:lang w:val="en-US" w:eastAsia="zh-CN"/>
        </w:rPr>
        <w:t>一</w:t>
      </w:r>
      <w:r>
        <w:rPr>
          <w:rFonts w:hint="eastAsia" w:ascii="Times New Roman" w:hAnsi="Times New Roman" w:eastAsia="宋体" w:cs="Times New Roman"/>
          <w:bCs/>
          <w:sz w:val="24"/>
          <w:szCs w:val="24"/>
        </w:rPr>
        <w:t>年供货合同，自</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日至</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年</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rPr>
        <w:t>月</w:t>
      </w:r>
      <w:r>
        <w:rPr>
          <w:rFonts w:hint="eastAsia" w:ascii="Times New Roman" w:hAnsi="Times New Roman" w:eastAsia="宋体" w:cs="Times New Roman"/>
          <w:bCs/>
          <w:sz w:val="24"/>
          <w:szCs w:val="24"/>
          <w:u w:val="single"/>
        </w:rPr>
        <w:t>  </w:t>
      </w:r>
      <w:r>
        <w:rPr>
          <w:rFonts w:hint="eastAsia" w:ascii="Times New Roman" w:hAnsi="Times New Roman" w:eastAsia="宋体" w:cs="Times New Roman"/>
          <w:bCs/>
          <w:sz w:val="24"/>
          <w:szCs w:val="24"/>
          <w:u w:val="single"/>
          <w:lang w:val="en-US" w:eastAsia="zh-CN"/>
        </w:rPr>
        <w:t xml:space="preserve"> </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bCs/>
          <w:sz w:val="24"/>
          <w:szCs w:val="24"/>
        </w:rPr>
        <w:t>日。</w:t>
      </w:r>
    </w:p>
    <w:p w14:paraId="49996A48">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default" w:ascii="Times New Roman" w:hAnsi="Times New Roman" w:eastAsia="宋体" w:cs="Times New Roman"/>
          <w:bCs/>
          <w:sz w:val="28"/>
          <w:szCs w:val="28"/>
        </w:rPr>
      </w:pPr>
      <w:r>
        <w:rPr>
          <w:rFonts w:hint="default" w:ascii="Times New Roman" w:hAnsi="Times New Roman" w:eastAsia="宋体" w:cs="Times New Roman"/>
          <w:b/>
          <w:sz w:val="28"/>
          <w:szCs w:val="28"/>
        </w:rPr>
        <w:t>十</w:t>
      </w:r>
      <w:r>
        <w:rPr>
          <w:rFonts w:hint="eastAsia" w:ascii="Times New Roman" w:hAnsi="Times New Roman" w:eastAsia="宋体" w:cs="Times New Roman"/>
          <w:b/>
          <w:sz w:val="28"/>
          <w:szCs w:val="28"/>
          <w:lang w:val="en-US" w:eastAsia="zh-CN"/>
        </w:rPr>
        <w:t>三</w:t>
      </w:r>
      <w:r>
        <w:rPr>
          <w:rFonts w:hint="default" w:ascii="Times New Roman" w:hAnsi="Times New Roman" w:eastAsia="宋体" w:cs="Times New Roman"/>
          <w:b/>
          <w:sz w:val="28"/>
          <w:szCs w:val="28"/>
        </w:rPr>
        <w:t>、</w:t>
      </w:r>
      <w:r>
        <w:rPr>
          <w:rFonts w:hint="default" w:ascii="Times New Roman" w:hAnsi="Times New Roman" w:eastAsia="宋体" w:cs="Times New Roman"/>
          <w:bCs/>
          <w:sz w:val="24"/>
          <w:szCs w:val="24"/>
        </w:rPr>
        <w:t>甲乙双方须严格执行国家和云南省廉政建设有关条款，并签订医药产品廉洁购销合同。一方如有违反，另一方有权制止，直至向纪检监察部门举报查处。</w:t>
      </w:r>
    </w:p>
    <w:p w14:paraId="30316B2F">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
          <w:bCs/>
          <w:sz w:val="28"/>
          <w:szCs w:val="28"/>
        </w:rPr>
        <w:t>十</w:t>
      </w:r>
      <w:r>
        <w:rPr>
          <w:rFonts w:hint="eastAsia" w:ascii="Times New Roman" w:hAnsi="Times New Roman" w:eastAsia="宋体" w:cs="Times New Roman"/>
          <w:b/>
          <w:bCs/>
          <w:sz w:val="28"/>
          <w:szCs w:val="28"/>
          <w:lang w:val="en-US" w:eastAsia="zh-CN"/>
        </w:rPr>
        <w:t>四</w:t>
      </w:r>
      <w:r>
        <w:rPr>
          <w:rFonts w:hint="eastAsia" w:ascii="Times New Roman" w:hAnsi="Times New Roman" w:eastAsia="宋体" w:cs="Times New Roman"/>
          <w:b/>
          <w:bCs/>
          <w:sz w:val="28"/>
          <w:szCs w:val="28"/>
        </w:rPr>
        <w:t>、</w:t>
      </w:r>
      <w:r>
        <w:rPr>
          <w:rFonts w:hint="eastAsia" w:ascii="Times New Roman" w:hAnsi="Times New Roman" w:eastAsia="宋体" w:cs="Times New Roman"/>
          <w:bCs/>
          <w:sz w:val="24"/>
          <w:szCs w:val="24"/>
        </w:rPr>
        <w:t>本合同不可分割部分</w:t>
      </w:r>
    </w:p>
    <w:p w14:paraId="284A88CC">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（一）采购文件。</w:t>
      </w:r>
    </w:p>
    <w:p w14:paraId="33434E8B">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（二）中标（成交）通知书。</w:t>
      </w:r>
    </w:p>
    <w:p w14:paraId="42692248">
      <w:pPr>
        <w:keepNext w:val="0"/>
        <w:keepLines w:val="0"/>
        <w:pageBreakBefore w:val="0"/>
        <w:kinsoku/>
        <w:wordWrap/>
        <w:overflowPunct/>
        <w:topLinePunct w:val="0"/>
        <w:autoSpaceDE/>
        <w:autoSpaceDN/>
        <w:bidi w:val="0"/>
        <w:adjustRightInd/>
        <w:snapToGrid/>
        <w:spacing w:line="510" w:lineRule="exact"/>
        <w:ind w:left="-160" w:leftChars="-50" w:right="-160" w:rightChars="-50"/>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（三）乙方的投标文件、项目评审时投标人代表对投标文件作出的澄清、承诺。</w:t>
      </w:r>
    </w:p>
    <w:p w14:paraId="4524BCB8">
      <w:pPr>
        <w:keepNext w:val="0"/>
        <w:keepLines w:val="0"/>
        <w:pageBreakBefore w:val="0"/>
        <w:widowControl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
          <w:bCs/>
          <w:sz w:val="28"/>
          <w:szCs w:val="28"/>
        </w:rPr>
        <w:t>十</w:t>
      </w:r>
      <w:r>
        <w:rPr>
          <w:rFonts w:hint="eastAsia" w:ascii="Times New Roman" w:hAnsi="Times New Roman" w:eastAsia="宋体" w:cs="Times New Roman"/>
          <w:b/>
          <w:bCs/>
          <w:sz w:val="28"/>
          <w:szCs w:val="28"/>
          <w:lang w:val="en-US" w:eastAsia="zh-CN"/>
        </w:rPr>
        <w:t>五</w:t>
      </w:r>
      <w:r>
        <w:rPr>
          <w:rFonts w:hint="default" w:ascii="Times New Roman" w:hAnsi="Times New Roman" w:eastAsia="宋体" w:cs="Times New Roman"/>
          <w:b/>
          <w:bCs/>
          <w:sz w:val="28"/>
          <w:szCs w:val="28"/>
        </w:rPr>
        <w:t>、</w:t>
      </w:r>
      <w:r>
        <w:rPr>
          <w:rFonts w:hint="default" w:ascii="Times New Roman" w:hAnsi="Times New Roman" w:eastAsia="宋体" w:cs="Times New Roman"/>
          <w:bCs/>
          <w:sz w:val="24"/>
          <w:szCs w:val="24"/>
        </w:rPr>
        <w:t>本合同一式</w:t>
      </w:r>
      <w:r>
        <w:rPr>
          <w:rFonts w:hint="default" w:ascii="Times New Roman" w:hAnsi="Times New Roman" w:eastAsia="宋体" w:cs="Times New Roman"/>
          <w:bCs/>
          <w:sz w:val="24"/>
          <w:szCs w:val="24"/>
          <w:lang w:val="en-US" w:eastAsia="zh-CN"/>
        </w:rPr>
        <w:t>六</w:t>
      </w:r>
      <w:r>
        <w:rPr>
          <w:rFonts w:hint="default" w:ascii="Times New Roman" w:hAnsi="Times New Roman" w:eastAsia="宋体" w:cs="Times New Roman"/>
          <w:bCs/>
          <w:sz w:val="24"/>
          <w:szCs w:val="24"/>
        </w:rPr>
        <w:t>份，甲方</w:t>
      </w:r>
      <w:r>
        <w:rPr>
          <w:rFonts w:hint="default" w:ascii="Times New Roman" w:hAnsi="Times New Roman" w:eastAsia="宋体" w:cs="Times New Roman"/>
          <w:bCs/>
          <w:sz w:val="24"/>
          <w:szCs w:val="24"/>
          <w:lang w:val="en-US" w:eastAsia="zh-CN"/>
        </w:rPr>
        <w:t>五</w:t>
      </w:r>
      <w:r>
        <w:rPr>
          <w:rFonts w:hint="default" w:ascii="Times New Roman" w:hAnsi="Times New Roman" w:eastAsia="宋体" w:cs="Times New Roman"/>
          <w:bCs/>
          <w:sz w:val="24"/>
          <w:szCs w:val="24"/>
        </w:rPr>
        <w:t>份，乙方一份，具有同等的法律效力。</w:t>
      </w:r>
    </w:p>
    <w:p w14:paraId="6FE246B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rPr>
      </w:pPr>
      <w:r>
        <w:rPr>
          <w:rFonts w:hint="default" w:ascii="Times New Roman" w:hAnsi="Times New Roman" w:eastAsia="宋体" w:cs="Times New Roman"/>
          <w:b/>
          <w:bCs/>
          <w:sz w:val="28"/>
          <w:szCs w:val="28"/>
        </w:rPr>
        <w:t>十</w:t>
      </w:r>
      <w:r>
        <w:rPr>
          <w:rFonts w:hint="eastAsia" w:ascii="Times New Roman" w:hAnsi="Times New Roman" w:eastAsia="宋体" w:cs="Times New Roman"/>
          <w:b/>
          <w:bCs/>
          <w:sz w:val="28"/>
          <w:szCs w:val="28"/>
          <w:lang w:val="en-US" w:eastAsia="zh-CN"/>
        </w:rPr>
        <w:t>六</w:t>
      </w:r>
      <w:r>
        <w:rPr>
          <w:rFonts w:hint="default" w:ascii="Times New Roman" w:hAnsi="Times New Roman" w:eastAsia="宋体" w:cs="Times New Roman"/>
          <w:b/>
          <w:bCs/>
          <w:sz w:val="28"/>
          <w:szCs w:val="28"/>
        </w:rPr>
        <w:t>、</w:t>
      </w:r>
      <w:r>
        <w:rPr>
          <w:rFonts w:hint="eastAsia" w:ascii="Times New Roman" w:hAnsi="Times New Roman" w:eastAsia="宋体" w:cs="Times New Roman"/>
          <w:bCs/>
          <w:sz w:val="24"/>
          <w:szCs w:val="24"/>
        </w:rPr>
        <w:t>本合同自</w:t>
      </w:r>
      <w:r>
        <w:rPr>
          <w:rFonts w:hint="eastAsia" w:ascii="Times New Roman" w:hAnsi="Times New Roman" w:eastAsia="宋体" w:cs="Times New Roman"/>
          <w:bCs/>
          <w:sz w:val="24"/>
          <w:szCs w:val="24"/>
          <w:lang w:val="en-US" w:eastAsia="zh-CN"/>
        </w:rPr>
        <w:t>双方</w:t>
      </w:r>
      <w:r>
        <w:rPr>
          <w:rFonts w:hint="eastAsia" w:ascii="Times New Roman" w:hAnsi="Times New Roman" w:eastAsia="宋体" w:cs="Times New Roman"/>
          <w:bCs/>
          <w:sz w:val="24"/>
          <w:szCs w:val="24"/>
        </w:rPr>
        <w:t>签字盖章之日起生效，未尽事宜，由甲乙双方协商解决。</w:t>
      </w:r>
    </w:p>
    <w:p w14:paraId="793D23E6">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p>
    <w:p w14:paraId="032D3DA1">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甲方开票信息</w:t>
      </w:r>
    </w:p>
    <w:p w14:paraId="7C5D53B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名称：大理白族自治州精神病医院（大理白族自治州第二人民医院）</w:t>
      </w:r>
    </w:p>
    <w:p w14:paraId="1BEE6896">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纳税人识别号：12532900432545899G</w:t>
      </w:r>
    </w:p>
    <w:p w14:paraId="0442E85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地址：大理市下关镇满江片区红山路与太和路交汇处 </w:t>
      </w:r>
    </w:p>
    <w:p w14:paraId="07520A53">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电话：0872-2193756</w:t>
      </w:r>
    </w:p>
    <w:p w14:paraId="734E58C0">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开户行：交通银行大理分行 </w:t>
      </w:r>
    </w:p>
    <w:p w14:paraId="44147D28">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账号：539539350018010028866</w:t>
      </w:r>
    </w:p>
    <w:p w14:paraId="75FA6E67">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p>
    <w:p w14:paraId="0391D38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乙方开票信息</w:t>
      </w:r>
    </w:p>
    <w:p w14:paraId="6F65B3A4">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p w14:paraId="0E319885">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纳税人识别号：</w:t>
      </w:r>
    </w:p>
    <w:p w14:paraId="6F5217F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p>
    <w:p w14:paraId="3237C51F">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p>
    <w:p w14:paraId="37CD6B0D">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开户行：</w:t>
      </w:r>
    </w:p>
    <w:p w14:paraId="6F472E89">
      <w:pPr>
        <w:keepNext w:val="0"/>
        <w:keepLines w:val="0"/>
        <w:pageBreakBefore w:val="0"/>
        <w:kinsoku/>
        <w:wordWrap/>
        <w:overflowPunct/>
        <w:topLinePunct w:val="0"/>
        <w:autoSpaceDE/>
        <w:autoSpaceDN/>
        <w:bidi w:val="0"/>
        <w:adjustRightInd/>
        <w:snapToGrid/>
        <w:spacing w:line="510" w:lineRule="exact"/>
        <w:ind w:right="-160" w:rightChars="-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p w14:paraId="1C37D842">
      <w:pPr>
        <w:keepNext w:val="0"/>
        <w:keepLines w:val="0"/>
        <w:pageBreakBefore w:val="0"/>
        <w:widowControl w:val="0"/>
        <w:kinsoku/>
        <w:wordWrap/>
        <w:overflowPunct/>
        <w:topLinePunct w:val="0"/>
        <w:autoSpaceDE/>
        <w:autoSpaceDN w:val="0"/>
        <w:bidi w:val="0"/>
        <w:adjustRightInd/>
        <w:snapToGrid/>
        <w:spacing w:line="460" w:lineRule="exact"/>
        <w:textAlignment w:val="auto"/>
        <w:rPr>
          <w:rFonts w:hint="default" w:ascii="Times New Roman" w:hAnsi="Times New Roman" w:eastAsia="方正仿宋_GBK" w:cs="Times New Roman"/>
          <w:sz w:val="32"/>
          <w:szCs w:val="32"/>
        </w:rPr>
      </w:pPr>
    </w:p>
    <w:p w14:paraId="14B20CE5">
      <w:pPr>
        <w:pStyle w:val="2"/>
        <w:rPr>
          <w:rFonts w:hint="default" w:ascii="Times New Roman" w:hAnsi="Times New Roman" w:cs="Times New Roman"/>
        </w:rPr>
      </w:pPr>
    </w:p>
    <w:p w14:paraId="46372D94">
      <w:pPr>
        <w:rPr>
          <w:rFonts w:hint="default" w:ascii="Times New Roman" w:hAnsi="Times New Roman" w:cs="Times New Roman"/>
        </w:rPr>
      </w:pPr>
    </w:p>
    <w:p w14:paraId="1E67CB9D">
      <w:pPr>
        <w:pStyle w:val="2"/>
        <w:rPr>
          <w:rFonts w:hint="default"/>
        </w:rPr>
      </w:pPr>
    </w:p>
    <w:p w14:paraId="5F8064B8">
      <w:pPr>
        <w:pStyle w:val="3"/>
        <w:bidi w:val="0"/>
        <w:rPr>
          <w:rFonts w:hint="default" w:ascii="Times New Roman" w:hAnsi="Times New Roman" w:eastAsia="方正小标宋_GBK" w:cs="Times New Roman"/>
          <w:sz w:val="44"/>
          <w:szCs w:val="44"/>
          <w:lang w:val="en-US" w:eastAsia="zh-CN"/>
        </w:rPr>
      </w:pPr>
      <w:bookmarkStart w:id="65" w:name="_Toc2983"/>
      <w:r>
        <w:rPr>
          <w:rFonts w:hint="default" w:ascii="Times New Roman" w:hAnsi="Times New Roman" w:eastAsia="方正小标宋_GBK" w:cs="Times New Roman"/>
          <w:sz w:val="44"/>
          <w:szCs w:val="44"/>
          <w:lang w:val="en-US" w:eastAsia="zh-CN"/>
        </w:rPr>
        <w:t>第四章 询价响应文件格式</w:t>
      </w:r>
      <w:bookmarkEnd w:id="65"/>
    </w:p>
    <w:p w14:paraId="2CA11207">
      <w:pPr>
        <w:pStyle w:val="2"/>
        <w:rPr>
          <w:rFonts w:hint="default" w:ascii="Times New Roman" w:hAnsi="Times New Roman" w:cs="Times New Roman"/>
          <w:lang w:val="en-US" w:eastAsia="zh-CN"/>
        </w:rPr>
      </w:pPr>
    </w:p>
    <w:p w14:paraId="1A4CCC06">
      <w:pPr>
        <w:pStyle w:val="2"/>
        <w:rPr>
          <w:rFonts w:hint="default" w:ascii="Times New Roman" w:hAnsi="Times New Roman" w:cs="Times New Roman"/>
          <w:lang w:val="en-US" w:eastAsia="zh-CN"/>
        </w:rPr>
      </w:pPr>
    </w:p>
    <w:p w14:paraId="28F78F5C">
      <w:pPr>
        <w:pStyle w:val="2"/>
        <w:rPr>
          <w:rFonts w:hint="default" w:ascii="Times New Roman" w:hAnsi="Times New Roman" w:cs="Times New Roman"/>
          <w:lang w:val="en-US" w:eastAsia="zh-CN"/>
        </w:rPr>
      </w:pPr>
    </w:p>
    <w:p w14:paraId="4EEE9675">
      <w:pPr>
        <w:pStyle w:val="4"/>
        <w:bidi w:val="0"/>
        <w:rPr>
          <w:rFonts w:hint="default" w:ascii="Times New Roman" w:hAnsi="Times New Roman" w:cs="Times New Roman"/>
        </w:rPr>
      </w:pPr>
      <w:bookmarkStart w:id="66" w:name="_Toc24307"/>
      <w:bookmarkStart w:id="67" w:name="_Toc9329_WPSOffice_Level2"/>
      <w:bookmarkStart w:id="68" w:name="_Toc342_WPSOffice_Level2"/>
      <w:bookmarkStart w:id="69" w:name="_Toc11109"/>
      <w:r>
        <w:rPr>
          <w:rFonts w:hint="default" w:ascii="Times New Roman" w:hAnsi="Times New Roman" w:cs="Times New Roman"/>
        </w:rPr>
        <w:t>格式：封面</w:t>
      </w:r>
      <w:bookmarkEnd w:id="66"/>
      <w:bookmarkEnd w:id="67"/>
      <w:bookmarkEnd w:id="68"/>
      <w:bookmarkEnd w:id="69"/>
    </w:p>
    <w:p w14:paraId="070D20F2">
      <w:pPr>
        <w:pStyle w:val="10"/>
        <w:bidi w:val="0"/>
        <w:rPr>
          <w:rFonts w:hint="default" w:ascii="Times New Roman" w:hAnsi="Times New Roman" w:cs="Times New Roman"/>
        </w:rPr>
      </w:pPr>
    </w:p>
    <w:p w14:paraId="4F3ECFCA">
      <w:pPr>
        <w:pStyle w:val="10"/>
        <w:bidi w:val="0"/>
        <w:rPr>
          <w:rFonts w:hint="default" w:ascii="Times New Roman" w:hAnsi="Times New Roman" w:cs="Times New Roman"/>
        </w:rPr>
      </w:pPr>
    </w:p>
    <w:p w14:paraId="33FB13EB">
      <w:pPr>
        <w:pStyle w:val="10"/>
        <w:bidi w:val="0"/>
        <w:rPr>
          <w:rFonts w:hint="default" w:ascii="Times New Roman" w:hAnsi="Times New Roman" w:cs="Times New Roman"/>
        </w:rPr>
      </w:pPr>
      <w:r>
        <w:rPr>
          <w:rFonts w:hint="default" w:ascii="Times New Roman" w:hAnsi="Times New Roman" w:cs="Times New Roman"/>
        </w:rPr>
        <w:tab/>
      </w:r>
    </w:p>
    <w:p w14:paraId="179223D2">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大理州第二人民医院2025年药物基因检测试剂耗材采购项目</w:t>
      </w:r>
    </w:p>
    <w:p w14:paraId="47A5AE00">
      <w:pPr>
        <w:bidi w:val="0"/>
        <w:jc w:val="center"/>
        <w:rPr>
          <w:rFonts w:hint="default" w:ascii="Times New Roman" w:hAnsi="Times New Roman" w:cs="Times New Roman"/>
        </w:rPr>
      </w:pPr>
    </w:p>
    <w:p w14:paraId="19DD7C0E">
      <w:pPr>
        <w:bidi w:val="0"/>
        <w:jc w:val="center"/>
        <w:rPr>
          <w:rFonts w:hint="default" w:ascii="Times New Roman" w:hAnsi="Times New Roman" w:cs="Times New Roman"/>
        </w:rPr>
      </w:pPr>
    </w:p>
    <w:p w14:paraId="353EA6F1">
      <w:pPr>
        <w:bidi w:val="0"/>
        <w:jc w:val="center"/>
        <w:rPr>
          <w:rFonts w:hint="default" w:ascii="Times New Roman" w:hAnsi="Times New Roman" w:cs="Times New Roman"/>
        </w:rPr>
      </w:pPr>
      <w:bookmarkStart w:id="70" w:name="_Toc11031_WPSOffice_Level2"/>
      <w:bookmarkStart w:id="71" w:name="_Toc18221_WPSOffice_Level2"/>
      <w:bookmarkStart w:id="72" w:name="_Toc22688_WPSOffice_Level2"/>
      <w:bookmarkStart w:id="73" w:name="_Toc30614_WPSOffice_Level2"/>
      <w:bookmarkStart w:id="74" w:name="_Toc25434_WPSOffice_Level2"/>
      <w:bookmarkStart w:id="75" w:name="_Toc26690_WPSOffice_Level2"/>
      <w:bookmarkStart w:id="76" w:name="_Toc24124_WPSOffice_Level2"/>
      <w:bookmarkStart w:id="77" w:name="_Toc2693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70"/>
      <w:bookmarkEnd w:id="71"/>
      <w:bookmarkEnd w:id="72"/>
      <w:bookmarkEnd w:id="73"/>
      <w:bookmarkEnd w:id="74"/>
      <w:bookmarkEnd w:id="75"/>
      <w:bookmarkEnd w:id="76"/>
      <w:bookmarkEnd w:id="77"/>
    </w:p>
    <w:p w14:paraId="25D37EF2">
      <w:pPr>
        <w:bidi w:val="0"/>
        <w:jc w:val="center"/>
        <w:rPr>
          <w:rFonts w:hint="default" w:ascii="Times New Roman" w:hAnsi="Times New Roman" w:cs="Times New Roman"/>
        </w:rPr>
      </w:pPr>
    </w:p>
    <w:p w14:paraId="3416904C">
      <w:pPr>
        <w:bidi w:val="0"/>
        <w:jc w:val="center"/>
        <w:rPr>
          <w:rFonts w:hint="default" w:ascii="Times New Roman" w:hAnsi="Times New Roman" w:cs="Times New Roman"/>
          <w:lang w:val="en-US" w:eastAsia="zh-CN"/>
        </w:rPr>
      </w:pPr>
      <w:bookmarkStart w:id="78" w:name="_Toc17359_WPSOffice_Level2"/>
      <w:bookmarkStart w:id="79" w:name="_Toc7066_WPSOffice_Level2"/>
      <w:bookmarkStart w:id="80" w:name="_Toc32481_WPSOffice_Level2"/>
      <w:bookmarkStart w:id="81" w:name="_Toc32042_WPSOffice_Level2"/>
      <w:bookmarkStart w:id="82" w:name="_Toc3686_WPSOffice_Level2"/>
      <w:bookmarkStart w:id="83" w:name="_Toc26052_WPSOffice_Level2"/>
      <w:bookmarkStart w:id="84" w:name="_Toc9606_WPSOffice_Level2"/>
      <w:bookmarkStart w:id="85" w:name="_Toc3509_WPSOffice_Level2"/>
      <w:bookmarkStart w:id="86" w:name="_Toc15055_WPSOffice_Level2"/>
      <w:r>
        <w:rPr>
          <w:rFonts w:hint="default" w:ascii="Times New Roman" w:hAnsi="Times New Roman" w:cs="Times New Roman"/>
          <w:lang w:eastAsia="zh-CN"/>
        </w:rPr>
        <w:t>项目编号</w:t>
      </w:r>
      <w:r>
        <w:rPr>
          <w:rFonts w:hint="default" w:ascii="Times New Roman" w:hAnsi="Times New Roman" w:cs="Times New Roman"/>
        </w:rPr>
        <w:t>：</w:t>
      </w:r>
      <w:bookmarkEnd w:id="78"/>
      <w:bookmarkEnd w:id="79"/>
      <w:bookmarkEnd w:id="80"/>
      <w:bookmarkEnd w:id="81"/>
      <w:bookmarkEnd w:id="82"/>
      <w:bookmarkEnd w:id="83"/>
      <w:bookmarkEnd w:id="84"/>
      <w:bookmarkEnd w:id="85"/>
      <w:bookmarkEnd w:id="86"/>
      <w:r>
        <w:rPr>
          <w:rFonts w:hint="eastAsia" w:ascii="Times New Roman" w:hAnsi="Times New Roman" w:cs="Times New Roman"/>
          <w:lang w:val="en-US" w:eastAsia="zh-CN"/>
        </w:rPr>
        <w:t>DLZEYZCB-2025-05</w:t>
      </w:r>
    </w:p>
    <w:p w14:paraId="3388C2F0">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14:paraId="4AECED52">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2248C501">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14:paraId="5DBAE24B">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87" w:name="_Toc4294_WPSOffice_Level2"/>
      <w:bookmarkStart w:id="88"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87"/>
      <w:bookmarkEnd w:id="88"/>
    </w:p>
    <w:p w14:paraId="0F1D1AAD">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89" w:name="_Toc14816_WPSOffice_Level2"/>
      <w:bookmarkStart w:id="90"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89"/>
      <w:bookmarkEnd w:id="90"/>
    </w:p>
    <w:p w14:paraId="407F4FE2">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91" w:name="_Toc28868_WPSOffice_Level2"/>
      <w:bookmarkStart w:id="92" w:name="_Toc29124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91"/>
      <w:bookmarkEnd w:id="92"/>
    </w:p>
    <w:p w14:paraId="700C21C1">
      <w:pPr>
        <w:pStyle w:val="10"/>
        <w:bidi w:val="0"/>
        <w:rPr>
          <w:rFonts w:hint="default" w:ascii="Times New Roman" w:hAnsi="Times New Roman" w:cs="Times New Roman"/>
          <w:lang w:val="en-US" w:eastAsia="zh-CN"/>
        </w:rPr>
      </w:pPr>
      <w:bookmarkStart w:id="93" w:name="_Toc15062"/>
    </w:p>
    <w:p w14:paraId="34BF53F2">
      <w:pPr>
        <w:pStyle w:val="10"/>
        <w:bidi w:val="0"/>
        <w:rPr>
          <w:rFonts w:hint="default" w:ascii="Times New Roman" w:hAnsi="Times New Roman" w:cs="Times New Roman"/>
          <w:lang w:val="en-US" w:eastAsia="zh-CN"/>
        </w:rPr>
      </w:pPr>
    </w:p>
    <w:p w14:paraId="1506D535">
      <w:pPr>
        <w:pStyle w:val="4"/>
        <w:bidi w:val="0"/>
        <w:rPr>
          <w:rFonts w:hint="default" w:ascii="Times New Roman" w:hAnsi="Times New Roman" w:cs="Times New Roman"/>
          <w:lang w:val="en-US" w:eastAsia="zh-CN"/>
        </w:rPr>
      </w:pPr>
      <w:bookmarkStart w:id="94" w:name="_Toc25214"/>
      <w:r>
        <w:rPr>
          <w:rFonts w:hint="default" w:ascii="Times New Roman" w:hAnsi="Times New Roman" w:cs="Times New Roman"/>
          <w:lang w:val="en-US" w:eastAsia="zh-CN"/>
        </w:rPr>
        <w:t>格式1：开标一览表</w:t>
      </w:r>
      <w:bookmarkEnd w:id="94"/>
    </w:p>
    <w:p w14:paraId="7E6D44D1">
      <w:pPr>
        <w:jc w:val="center"/>
        <w:rPr>
          <w:rFonts w:hint="default" w:ascii="Times New Roman" w:hAnsi="Times New Roman" w:eastAsia="宋体" w:cs="Times New Roman"/>
          <w:b/>
          <w:bCs/>
          <w:szCs w:val="28"/>
          <w:highlight w:val="none"/>
        </w:rPr>
      </w:pPr>
      <w:bookmarkStart w:id="95" w:name="_Toc486806866"/>
      <w:bookmarkStart w:id="96" w:name="_Toc5819"/>
      <w:r>
        <w:rPr>
          <w:rFonts w:hint="default" w:ascii="Times New Roman" w:hAnsi="Times New Roman" w:eastAsia="宋体" w:cs="Times New Roman"/>
          <w:b/>
          <w:bCs/>
          <w:szCs w:val="28"/>
          <w:highlight w:val="none"/>
        </w:rPr>
        <w:t>开标（唱标）一览表</w:t>
      </w:r>
      <w:bookmarkEnd w:id="95"/>
      <w:bookmarkEnd w:id="96"/>
    </w:p>
    <w:p w14:paraId="7CC297B4">
      <w:pPr>
        <w:jc w:val="center"/>
        <w:rPr>
          <w:rFonts w:hint="default" w:ascii="Times New Roman" w:hAnsi="Times New Roman" w:eastAsia="宋体" w:cs="Times New Roman"/>
          <w:szCs w:val="28"/>
          <w:highlight w:val="none"/>
          <w:lang w:val="en-US" w:eastAsia="zh-CN"/>
        </w:rPr>
      </w:pPr>
    </w:p>
    <w:bookmarkEnd w:id="93"/>
    <w:p w14:paraId="25155F99">
      <w:pPr>
        <w:spacing w:line="288" w:lineRule="auto"/>
        <w:rPr>
          <w:rFonts w:hint="default" w:ascii="Times New Roman" w:hAnsi="Times New Roman" w:cs="Times New Roman"/>
          <w:b w:val="0"/>
          <w:bCs w:val="0"/>
          <w:szCs w:val="21"/>
          <w:highlight w:val="none"/>
        </w:rPr>
      </w:pPr>
      <w:bookmarkStart w:id="97" w:name="_Toc25000"/>
      <w:r>
        <w:rPr>
          <w:rFonts w:hint="default" w:ascii="Times New Roman" w:hAnsi="Times New Roman" w:cs="Times New Roman"/>
          <w:b w:val="0"/>
          <w:bCs w:val="0"/>
          <w:szCs w:val="21"/>
          <w:highlight w:val="none"/>
        </w:rPr>
        <w:t>项目名称：</w:t>
      </w:r>
      <w:r>
        <w:rPr>
          <w:rFonts w:hint="default" w:ascii="Times New Roman" w:hAnsi="Times New Roman" w:cs="Times New Roman"/>
          <w:b w:val="0"/>
          <w:bCs w:val="0"/>
          <w:szCs w:val="21"/>
          <w:highlight w:val="none"/>
          <w:u w:val="single"/>
        </w:rPr>
        <w:t xml:space="preserve">                         </w:t>
      </w:r>
    </w:p>
    <w:p w14:paraId="5B0EE60D">
      <w:pPr>
        <w:spacing w:line="288" w:lineRule="auto"/>
        <w:rPr>
          <w:rFonts w:hint="default" w:ascii="Times New Roman" w:hAnsi="Times New Roman" w:cs="Times New Roman"/>
          <w:szCs w:val="21"/>
          <w:highlight w:val="none"/>
          <w:u w:val="single"/>
        </w:rPr>
      </w:pPr>
      <w:r>
        <w:rPr>
          <w:rFonts w:hint="default" w:ascii="Times New Roman" w:hAnsi="Times New Roman" w:cs="Times New Roman"/>
          <w:b w:val="0"/>
          <w:bCs w:val="0"/>
          <w:szCs w:val="21"/>
          <w:highlight w:val="none"/>
        </w:rPr>
        <w:t>项目编号：</w:t>
      </w:r>
      <w:r>
        <w:rPr>
          <w:rFonts w:hint="default" w:ascii="Times New Roman" w:hAnsi="Times New Roman" w:cs="Times New Roman"/>
          <w:b w:val="0"/>
          <w:bCs w:val="0"/>
          <w:szCs w:val="21"/>
          <w:highlight w:val="none"/>
          <w:u w:val="single"/>
        </w:rPr>
        <w:t xml:space="preserve">                         </w:t>
      </w:r>
      <w:r>
        <w:rPr>
          <w:rFonts w:hint="default" w:ascii="Times New Roman" w:hAnsi="Times New Roman" w:cs="Times New Roman"/>
          <w:b/>
          <w:szCs w:val="21"/>
          <w:highlight w:val="none"/>
        </w:rPr>
        <w:t xml:space="preserve">                           </w:t>
      </w:r>
    </w:p>
    <w:tbl>
      <w:tblPr>
        <w:tblStyle w:val="15"/>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0"/>
        <w:gridCol w:w="4372"/>
        <w:gridCol w:w="1066"/>
      </w:tblGrid>
      <w:tr w14:paraId="19C0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95" w:type="dxa"/>
            <w:vAlign w:val="center"/>
          </w:tcPr>
          <w:p w14:paraId="1EB039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序号</w:t>
            </w:r>
          </w:p>
        </w:tc>
        <w:tc>
          <w:tcPr>
            <w:tcW w:w="1920" w:type="dxa"/>
            <w:vAlign w:val="center"/>
          </w:tcPr>
          <w:p w14:paraId="47078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分项</w:t>
            </w:r>
          </w:p>
        </w:tc>
        <w:tc>
          <w:tcPr>
            <w:tcW w:w="4372" w:type="dxa"/>
            <w:vAlign w:val="center"/>
          </w:tcPr>
          <w:p w14:paraId="28B4D1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供应商填报</w:t>
            </w:r>
          </w:p>
        </w:tc>
        <w:tc>
          <w:tcPr>
            <w:tcW w:w="1066" w:type="dxa"/>
            <w:vAlign w:val="center"/>
          </w:tcPr>
          <w:p w14:paraId="3250C6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备注</w:t>
            </w:r>
          </w:p>
        </w:tc>
      </w:tr>
      <w:tr w14:paraId="22CF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95" w:type="dxa"/>
            <w:vAlign w:val="center"/>
          </w:tcPr>
          <w:p w14:paraId="5CFAC1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1920" w:type="dxa"/>
            <w:vAlign w:val="center"/>
          </w:tcPr>
          <w:p w14:paraId="66D229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4372" w:type="dxa"/>
            <w:vAlign w:val="center"/>
          </w:tcPr>
          <w:p w14:paraId="4F048C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统一下浮率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tc>
        <w:tc>
          <w:tcPr>
            <w:tcW w:w="1066" w:type="dxa"/>
            <w:vAlign w:val="center"/>
          </w:tcPr>
          <w:p w14:paraId="36C975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24DD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5" w:type="dxa"/>
            <w:vAlign w:val="center"/>
          </w:tcPr>
          <w:p w14:paraId="5F01BD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1920" w:type="dxa"/>
            <w:vAlign w:val="center"/>
          </w:tcPr>
          <w:p w14:paraId="0B2DE3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期限</w:t>
            </w:r>
          </w:p>
        </w:tc>
        <w:tc>
          <w:tcPr>
            <w:tcW w:w="4372" w:type="dxa"/>
            <w:vAlign w:val="center"/>
          </w:tcPr>
          <w:p w14:paraId="4A5C7B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66" w:type="dxa"/>
            <w:vAlign w:val="center"/>
          </w:tcPr>
          <w:p w14:paraId="34CE89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1AD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95" w:type="dxa"/>
            <w:vAlign w:val="center"/>
          </w:tcPr>
          <w:p w14:paraId="145F08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1920" w:type="dxa"/>
            <w:vAlign w:val="center"/>
          </w:tcPr>
          <w:p w14:paraId="14F874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供货地点</w:t>
            </w:r>
          </w:p>
        </w:tc>
        <w:tc>
          <w:tcPr>
            <w:tcW w:w="4372" w:type="dxa"/>
            <w:vAlign w:val="center"/>
          </w:tcPr>
          <w:p w14:paraId="1D7ED1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66" w:type="dxa"/>
            <w:vAlign w:val="center"/>
          </w:tcPr>
          <w:p w14:paraId="0CFD95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643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95" w:type="dxa"/>
            <w:vAlign w:val="center"/>
          </w:tcPr>
          <w:p w14:paraId="4AFC54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1920" w:type="dxa"/>
            <w:vAlign w:val="center"/>
          </w:tcPr>
          <w:p w14:paraId="7F7CC7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备注</w:t>
            </w:r>
          </w:p>
        </w:tc>
        <w:tc>
          <w:tcPr>
            <w:tcW w:w="4372" w:type="dxa"/>
            <w:vAlign w:val="center"/>
          </w:tcPr>
          <w:p w14:paraId="38A749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066" w:type="dxa"/>
            <w:vAlign w:val="center"/>
          </w:tcPr>
          <w:p w14:paraId="002A9B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3CBD149A">
      <w:pPr>
        <w:spacing w:line="288" w:lineRule="auto"/>
        <w:rPr>
          <w:rFonts w:hint="default" w:ascii="Times New Roman" w:hAnsi="Times New Roman" w:cs="Times New Roman"/>
          <w:sz w:val="21"/>
          <w:szCs w:val="21"/>
          <w:highlight w:val="none"/>
        </w:rPr>
      </w:pPr>
    </w:p>
    <w:p w14:paraId="66D6CF43">
      <w:pPr>
        <w:spacing w:line="288" w:lineRule="auto"/>
        <w:ind w:left="-416" w:leftChars="-130" w:right="45" w:rightChars="14" w:firstLine="422" w:firstLineChars="200"/>
        <w:rPr>
          <w:rFonts w:hint="default" w:ascii="Times New Roman" w:hAnsi="Times New Roman" w:cs="Times New Roman"/>
          <w:kern w:val="2"/>
          <w:sz w:val="21"/>
          <w:szCs w:val="21"/>
          <w:highlight w:val="none"/>
        </w:rPr>
      </w:pPr>
      <w:r>
        <w:rPr>
          <w:rFonts w:hint="default" w:ascii="Times New Roman" w:hAnsi="Times New Roman" w:cs="Times New Roman"/>
          <w:b/>
          <w:kern w:val="2"/>
          <w:sz w:val="21"/>
          <w:szCs w:val="21"/>
          <w:highlight w:val="none"/>
        </w:rPr>
        <w:t>注：1、此表应附在报价文件封面后第一页；</w:t>
      </w:r>
      <w:r>
        <w:rPr>
          <w:rFonts w:hint="default" w:ascii="Times New Roman" w:hAnsi="Times New Roman" w:cs="Times New Roman"/>
          <w:kern w:val="2"/>
          <w:sz w:val="21"/>
          <w:szCs w:val="21"/>
          <w:highlight w:val="none"/>
        </w:rPr>
        <w:t>2、投标总价为</w:t>
      </w:r>
      <w:r>
        <w:rPr>
          <w:rFonts w:hint="default" w:ascii="Times New Roman" w:hAnsi="Times New Roman" w:cs="Times New Roman"/>
          <w:bCs/>
          <w:kern w:val="2"/>
          <w:sz w:val="21"/>
          <w:szCs w:val="21"/>
          <w:highlight w:val="none"/>
        </w:rPr>
        <w:t>本包</w:t>
      </w:r>
      <w:r>
        <w:rPr>
          <w:rFonts w:hint="default" w:ascii="Times New Roman" w:hAnsi="Times New Roman" w:cs="Times New Roman"/>
          <w:kern w:val="2"/>
          <w:sz w:val="21"/>
          <w:szCs w:val="21"/>
          <w:highlight w:val="none"/>
        </w:rPr>
        <w:t>货物现场完税价及</w:t>
      </w:r>
      <w:r>
        <w:rPr>
          <w:rFonts w:hint="default" w:ascii="Times New Roman" w:hAnsi="Times New Roman" w:cs="Times New Roman"/>
          <w:sz w:val="21"/>
          <w:szCs w:val="21"/>
          <w:highlight w:val="none"/>
        </w:rPr>
        <w:t>投标货物</w:t>
      </w:r>
      <w:r>
        <w:rPr>
          <w:rFonts w:hint="default" w:ascii="Times New Roman" w:hAnsi="Times New Roman" w:cs="Times New Roman"/>
          <w:bCs/>
          <w:sz w:val="21"/>
          <w:szCs w:val="21"/>
          <w:highlight w:val="none"/>
        </w:rPr>
        <w:t>必不可少的部件、标准备件、专用工具</w:t>
      </w:r>
      <w:r>
        <w:rPr>
          <w:rFonts w:hint="default" w:ascii="Times New Roman" w:hAnsi="Times New Roman" w:cs="Times New Roman"/>
          <w:sz w:val="21"/>
          <w:szCs w:val="21"/>
          <w:highlight w:val="none"/>
        </w:rPr>
        <w:t>费用</w:t>
      </w:r>
      <w:r>
        <w:rPr>
          <w:rFonts w:hint="default" w:ascii="Times New Roman" w:hAnsi="Times New Roman" w:cs="Times New Roman"/>
          <w:kern w:val="2"/>
          <w:sz w:val="21"/>
          <w:szCs w:val="21"/>
          <w:highlight w:val="none"/>
        </w:rPr>
        <w:t>，已包括与本次投标货物和伴随服务相关的所有税费以及供应商为完成本项目、达到询价文件要求所需要的全部费用，采购人不再另行支付其他任何费用；3、所有价格单位为人民币元；4、报价项应是投标货物及相关服务的全部费用的报价；5、信息须真实准确。</w:t>
      </w:r>
    </w:p>
    <w:p w14:paraId="00842A8B">
      <w:pPr>
        <w:spacing w:line="288" w:lineRule="auto"/>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14:paraId="76B6E5D1">
      <w:pPr>
        <w:pStyle w:val="2"/>
        <w:rPr>
          <w:rFonts w:hint="default"/>
        </w:rPr>
      </w:pPr>
    </w:p>
    <w:p w14:paraId="7FFB6BC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4DEB0D6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03C9F99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1C7A7815">
      <w:pPr>
        <w:spacing w:line="288" w:lineRule="auto"/>
        <w:ind w:firstLine="630" w:firstLineChars="300"/>
        <w:jc w:val="right"/>
        <w:rPr>
          <w:rFonts w:hint="default" w:ascii="Times New Roman" w:hAnsi="Times New Roman" w:cs="Times New Roman"/>
          <w:sz w:val="21"/>
          <w:szCs w:val="21"/>
          <w:highlight w:val="none"/>
        </w:rPr>
      </w:pPr>
    </w:p>
    <w:bookmarkEnd w:id="97"/>
    <w:p w14:paraId="355029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1"/>
        <w:rPr>
          <w:rFonts w:hint="default" w:ascii="Times New Roman" w:hAnsi="Times New Roman" w:eastAsia="方正仿宋_GBK" w:cs="Times New Roman"/>
          <w:b/>
          <w:color w:val="000000" w:themeColor="text1"/>
          <w:sz w:val="21"/>
          <w:szCs w:val="21"/>
          <w14:textFill>
            <w14:solidFill>
              <w14:schemeClr w14:val="tx1"/>
            </w14:solidFill>
          </w14:textFill>
        </w:rPr>
      </w:pPr>
    </w:p>
    <w:p w14:paraId="221270E4">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lang w:val="en-US" w:eastAsia="zh-CN"/>
        </w:rPr>
        <w:t xml:space="preserve"> </w:t>
      </w:r>
      <w:bookmarkStart w:id="98" w:name="_Toc118"/>
      <w:bookmarkStart w:id="99" w:name="_Toc15324"/>
    </w:p>
    <w:p w14:paraId="59A81662">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r>
        <w:rPr>
          <w:rFonts w:hint="default" w:ascii="Times New Roman" w:hAnsi="Times New Roman" w:eastAsia="方正黑体_GBK" w:cs="Times New Roman"/>
          <w:b/>
          <w:bCs w:val="0"/>
          <w:color w:val="auto"/>
          <w:kern w:val="0"/>
          <w:sz w:val="32"/>
          <w:szCs w:val="24"/>
          <w:lang w:val="en-US" w:eastAsia="zh-CN" w:bidi="ar-SA"/>
        </w:rPr>
        <w:t>格式2：投 标 函</w:t>
      </w:r>
      <w:bookmarkEnd w:id="98"/>
      <w:bookmarkEnd w:id="99"/>
    </w:p>
    <w:p w14:paraId="6805B88B">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100" w:name="_Toc393354841"/>
      <w:bookmarkStart w:id="101" w:name="_Toc476856077"/>
      <w:bookmarkStart w:id="102" w:name="_Toc475291694"/>
      <w:r>
        <w:rPr>
          <w:rFonts w:hint="default" w:ascii="Times New Roman" w:hAnsi="Times New Roman" w:eastAsia="方正仿宋_GBK" w:cs="Times New Roman"/>
          <w:b/>
          <w:bCs w:val="0"/>
          <w:kern w:val="0"/>
          <w:sz w:val="32"/>
          <w:szCs w:val="24"/>
          <w:lang w:val="en-US" w:eastAsia="zh-CN" w:bidi="ar-SA"/>
        </w:rPr>
        <w:t>投 标 函</w:t>
      </w:r>
      <w:bookmarkEnd w:id="100"/>
      <w:bookmarkEnd w:id="101"/>
      <w:bookmarkEnd w:id="102"/>
    </w:p>
    <w:p w14:paraId="070D882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66423B4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DLZEYZCB-2025-05</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14:paraId="36D4D32C">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14:paraId="474EAEB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w:t>
      </w:r>
      <w:r>
        <w:rPr>
          <w:rFonts w:hint="eastAsia" w:ascii="Times New Roman" w:hAnsi="Times New Roman" w:cs="Times New Roman"/>
          <w:color w:val="000000" w:themeColor="text1"/>
          <w:sz w:val="32"/>
          <w:szCs w:val="32"/>
          <w:lang w:val="en-US" w:eastAsia="zh-CN"/>
          <w14:textFill>
            <w14:solidFill>
              <w14:schemeClr w14:val="tx1"/>
            </w14:solidFill>
          </w14:textFill>
        </w:rPr>
        <w:t>本次</w:t>
      </w:r>
      <w:r>
        <w:rPr>
          <w:rFonts w:hint="default" w:ascii="Times New Roman" w:hAnsi="Times New Roman" w:eastAsia="方正仿宋_GBK" w:cs="Times New Roman"/>
          <w:color w:val="000000" w:themeColor="text1"/>
          <w:sz w:val="32"/>
          <w:szCs w:val="32"/>
          <w14:textFill>
            <w14:solidFill>
              <w14:schemeClr w14:val="tx1"/>
            </w14:solidFill>
          </w14:textFill>
        </w:rPr>
        <w:t>投标</w:t>
      </w:r>
      <w:r>
        <w:rPr>
          <w:rFonts w:hint="eastAsia" w:ascii="Times New Roman" w:hAnsi="Times New Roman" w:cs="Times New Roman"/>
          <w:color w:val="000000" w:themeColor="text1"/>
          <w:sz w:val="32"/>
          <w:szCs w:val="32"/>
          <w:lang w:val="en-US" w:eastAsia="zh-CN"/>
          <w14:textFill>
            <w14:solidFill>
              <w14:schemeClr w14:val="tx1"/>
            </w14:solidFill>
          </w14:textFill>
        </w:rPr>
        <w:t>单价在预算控制单价基础上</w:t>
      </w:r>
      <w:r>
        <w:rPr>
          <w:rFonts w:hint="default" w:ascii="Times New Roman" w:hAnsi="Times New Roman" w:eastAsia="方正仿宋_GBK" w:cs="Times New Roman"/>
          <w:color w:val="000000" w:themeColor="text1"/>
          <w:sz w:val="32"/>
          <w:szCs w:val="32"/>
          <w14:textFill>
            <w14:solidFill>
              <w14:schemeClr w14:val="tx1"/>
            </w14:solidFill>
          </w14:textFill>
        </w:rPr>
        <w:t>（含税价）</w:t>
      </w:r>
      <w:r>
        <w:rPr>
          <w:rFonts w:hint="eastAsia" w:ascii="Times New Roman" w:hAnsi="Times New Roman" w:cs="Times New Roman"/>
          <w:color w:val="000000" w:themeColor="text1"/>
          <w:sz w:val="32"/>
          <w:szCs w:val="32"/>
          <w:lang w:val="en-US" w:eastAsia="zh-CN"/>
          <w14:textFill>
            <w14:solidFill>
              <w14:schemeClr w14:val="tx1"/>
            </w14:solidFill>
          </w14:textFill>
        </w:rPr>
        <w:t>统一下浮率（%）</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2CB50D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14:paraId="2C02604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14:paraId="1795229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4、同意应贵方要求提供与本投标有关的任何数据或资料，并保证数据和资料的完整性和真实性。</w:t>
      </w:r>
    </w:p>
    <w:p w14:paraId="090F643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14:paraId="2A4A02E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14:paraId="2FDE6B22">
      <w:pPr>
        <w:pStyle w:val="2"/>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7、完全理解贵方不一定要接受最低报价的供应商为中标人的行为。</w:t>
      </w:r>
    </w:p>
    <w:p w14:paraId="180089EE">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14:paraId="35F35F38">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14:paraId="5882EF9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14:paraId="75A42F88">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14:paraId="3120A8D1">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14:paraId="7F53F113">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14:paraId="43BB28E3">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A241232">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14:paraId="17435E2E">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14:paraId="3A5536F4">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14:paraId="542FCC6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14:paraId="4014449A">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14:paraId="4F1008BC">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14:paraId="08CC14E6">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14:paraId="4F87678C">
      <w:pPr>
        <w:keepNext w:val="0"/>
        <w:keepLines w:val="0"/>
        <w:pageBreakBefore w:val="0"/>
        <w:widowControl w:val="0"/>
        <w:kinsoku/>
        <w:wordWrap/>
        <w:overflowPunct/>
        <w:topLinePunct w:val="0"/>
        <w:autoSpaceDE/>
        <w:autoSpaceDN/>
        <w:bidi w:val="0"/>
        <w:snapToGrid/>
        <w:spacing w:line="46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14:paraId="1D30FF6B">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45FEFE34">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11A17D17">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12EE0D4A">
      <w:pPr>
        <w:pStyle w:val="2"/>
        <w:rPr>
          <w:rFonts w:hint="default"/>
          <w:lang w:val="en-US" w:eastAsia="zh-CN"/>
        </w:rPr>
      </w:pPr>
    </w:p>
    <w:p w14:paraId="2AE44D62">
      <w:pPr>
        <w:pStyle w:val="4"/>
        <w:bidi w:val="0"/>
        <w:rPr>
          <w:rFonts w:hint="default" w:ascii="Times New Roman" w:hAnsi="Times New Roman" w:cs="Times New Roman"/>
        </w:rPr>
      </w:pPr>
      <w:bookmarkStart w:id="103" w:name="_Toc29210"/>
      <w:bookmarkStart w:id="104" w:name="_Toc4973"/>
    </w:p>
    <w:p w14:paraId="2620471B">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p>
    <w:p w14:paraId="7B75BF52">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p>
    <w:p w14:paraId="51F2ED1D">
      <w:pPr>
        <w:pStyle w:val="2"/>
        <w:numPr>
          <w:ilvl w:val="0"/>
          <w:numId w:val="0"/>
        </w:numPr>
        <w:rPr>
          <w:rFonts w:hint="default" w:ascii="Times New Roman" w:hAnsi="Times New Roman" w:eastAsia="方正黑体_GBK" w:cs="Times New Roman"/>
          <w:b/>
          <w:bCs w:val="0"/>
          <w:color w:val="auto"/>
          <w:kern w:val="0"/>
          <w:sz w:val="32"/>
          <w:szCs w:val="24"/>
          <w:lang w:val="en-US" w:eastAsia="zh-CN" w:bidi="ar-SA"/>
        </w:rPr>
      </w:pPr>
      <w:r>
        <w:rPr>
          <w:rFonts w:hint="default" w:ascii="Times New Roman" w:hAnsi="Times New Roman" w:eastAsia="方正黑体_GBK" w:cs="Times New Roman"/>
          <w:b/>
          <w:bCs w:val="0"/>
          <w:color w:val="auto"/>
          <w:kern w:val="0"/>
          <w:sz w:val="32"/>
          <w:szCs w:val="24"/>
          <w:lang w:val="en-US" w:eastAsia="zh-CN" w:bidi="ar-SA"/>
        </w:rPr>
        <w:t>格式3：法定代表人身份证明书</w:t>
      </w:r>
      <w:bookmarkEnd w:id="103"/>
      <w:bookmarkEnd w:id="104"/>
    </w:p>
    <w:p w14:paraId="21E905E9">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105" w:name="_Toc476856087"/>
      <w:bookmarkStart w:id="106" w:name="_Toc393354852"/>
      <w:bookmarkStart w:id="107" w:name="_Toc475291704"/>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105"/>
      <w:bookmarkEnd w:id="106"/>
      <w:bookmarkEnd w:id="107"/>
    </w:p>
    <w:p w14:paraId="4962A50E">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14:paraId="274E1F9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40AC1A9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32BDD0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B74153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221DB47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14:paraId="1A06C09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14:paraId="642A3BC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F17B9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5DEE08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14:paraId="6665AFB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3CE9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AA29E9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14:paraId="10B039B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DBEF93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497C49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7F81ADCF">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A32E57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37905263">
      <w:pPr>
        <w:pStyle w:val="2"/>
        <w:rPr>
          <w:rFonts w:hint="default" w:ascii="Times New Roman" w:hAnsi="Times New Roman" w:cs="Times New Roman"/>
          <w:color w:val="000000" w:themeColor="text1"/>
          <w:szCs w:val="21"/>
          <w14:textFill>
            <w14:solidFill>
              <w14:schemeClr w14:val="tx1"/>
            </w14:solidFill>
          </w14:textFill>
        </w:rPr>
      </w:pPr>
    </w:p>
    <w:p w14:paraId="5C1F01B0">
      <w:pPr>
        <w:rPr>
          <w:rFonts w:hint="default" w:ascii="Times New Roman" w:hAnsi="Times New Roman" w:cs="Times New Roman"/>
          <w:color w:val="000000" w:themeColor="text1"/>
          <w:szCs w:val="21"/>
          <w14:textFill>
            <w14:solidFill>
              <w14:schemeClr w14:val="tx1"/>
            </w14:solidFill>
          </w14:textFill>
        </w:rPr>
      </w:pPr>
    </w:p>
    <w:p w14:paraId="35A87F02">
      <w:pPr>
        <w:pStyle w:val="2"/>
        <w:rPr>
          <w:rFonts w:hint="default" w:ascii="Times New Roman" w:hAnsi="Times New Roman" w:cs="Times New Roman"/>
          <w:color w:val="000000" w:themeColor="text1"/>
          <w:szCs w:val="21"/>
          <w14:textFill>
            <w14:solidFill>
              <w14:schemeClr w14:val="tx1"/>
            </w14:solidFill>
          </w14:textFill>
        </w:rPr>
      </w:pPr>
    </w:p>
    <w:p w14:paraId="68E34550">
      <w:pPr>
        <w:rPr>
          <w:rFonts w:hint="default" w:ascii="Times New Roman" w:hAnsi="Times New Roman" w:cs="Times New Roman"/>
          <w:color w:val="000000" w:themeColor="text1"/>
          <w:szCs w:val="21"/>
          <w14:textFill>
            <w14:solidFill>
              <w14:schemeClr w14:val="tx1"/>
            </w14:solidFill>
          </w14:textFill>
        </w:rPr>
      </w:pPr>
    </w:p>
    <w:p w14:paraId="16FD918F">
      <w:pPr>
        <w:pStyle w:val="2"/>
        <w:rPr>
          <w:rFonts w:hint="default" w:ascii="Times New Roman" w:hAnsi="Times New Roman" w:cs="Times New Roman"/>
          <w:color w:val="000000" w:themeColor="text1"/>
          <w:szCs w:val="21"/>
          <w14:textFill>
            <w14:solidFill>
              <w14:schemeClr w14:val="tx1"/>
            </w14:solidFill>
          </w14:textFill>
        </w:rPr>
      </w:pPr>
    </w:p>
    <w:p w14:paraId="679F26DE">
      <w:pPr>
        <w:rPr>
          <w:rFonts w:hint="default" w:ascii="Times New Roman" w:hAnsi="Times New Roman" w:cs="Times New Roman"/>
          <w:color w:val="000000" w:themeColor="text1"/>
          <w:szCs w:val="21"/>
          <w14:textFill>
            <w14:solidFill>
              <w14:schemeClr w14:val="tx1"/>
            </w14:solidFill>
          </w14:textFill>
        </w:rPr>
      </w:pPr>
    </w:p>
    <w:p w14:paraId="1CF5A689">
      <w:pPr>
        <w:pStyle w:val="2"/>
        <w:rPr>
          <w:rFonts w:hint="default" w:ascii="Times New Roman" w:hAnsi="Times New Roman" w:cs="Times New Roman"/>
          <w:color w:val="000000" w:themeColor="text1"/>
          <w:szCs w:val="21"/>
          <w14:textFill>
            <w14:solidFill>
              <w14:schemeClr w14:val="tx1"/>
            </w14:solidFill>
          </w14:textFill>
        </w:rPr>
      </w:pPr>
    </w:p>
    <w:p w14:paraId="35DD1526">
      <w:pPr>
        <w:rPr>
          <w:rFonts w:hint="default" w:ascii="Times New Roman" w:hAnsi="Times New Roman" w:cs="Times New Roman"/>
          <w:color w:val="000000" w:themeColor="text1"/>
          <w:szCs w:val="21"/>
          <w14:textFill>
            <w14:solidFill>
              <w14:schemeClr w14:val="tx1"/>
            </w14:solidFill>
          </w14:textFill>
        </w:rPr>
      </w:pPr>
    </w:p>
    <w:p w14:paraId="52DD94A3">
      <w:pPr>
        <w:pStyle w:val="4"/>
        <w:bidi w:val="0"/>
        <w:rPr>
          <w:rFonts w:hint="default" w:ascii="Times New Roman" w:hAnsi="Times New Roman" w:cs="Times New Roman"/>
        </w:rPr>
      </w:pPr>
      <w:bookmarkStart w:id="108" w:name="_Toc2616"/>
      <w:bookmarkStart w:id="109" w:name="_Toc29372"/>
      <w:r>
        <w:rPr>
          <w:rFonts w:hint="default" w:ascii="Times New Roman" w:hAnsi="Times New Roman" w:cs="Times New Roman"/>
        </w:rPr>
        <w:t>格式4：法定代表人授权委托书</w:t>
      </w:r>
      <w:bookmarkEnd w:id="108"/>
      <w:bookmarkEnd w:id="109"/>
    </w:p>
    <w:p w14:paraId="4DDB9364">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110" w:name="_Toc476856088"/>
      <w:bookmarkStart w:id="111" w:name="_Toc213141107"/>
      <w:bookmarkStart w:id="112" w:name="_Toc393354853"/>
      <w:bookmarkStart w:id="113" w:name="_Toc475291705"/>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110"/>
      <w:bookmarkEnd w:id="111"/>
      <w:bookmarkEnd w:id="112"/>
      <w:bookmarkEnd w:id="113"/>
    </w:p>
    <w:p w14:paraId="101B351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14:paraId="73B77AF2">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DLZEYZCB-2025-05</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14:paraId="206BE4D0">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14:paraId="5A244BBC">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035CDEC">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055E72AD">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14:paraId="270F8687">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14:paraId="2982861C">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5"/>
        <w:tblW w:w="6892" w:type="dxa"/>
        <w:tblInd w:w="720" w:type="dxa"/>
        <w:tblLayout w:type="fixed"/>
        <w:tblCellMar>
          <w:top w:w="0" w:type="dxa"/>
          <w:left w:w="108" w:type="dxa"/>
          <w:bottom w:w="0" w:type="dxa"/>
          <w:right w:w="108" w:type="dxa"/>
        </w:tblCellMar>
      </w:tblPr>
      <w:tblGrid>
        <w:gridCol w:w="2932"/>
        <w:gridCol w:w="3960"/>
      </w:tblGrid>
      <w:tr w14:paraId="42E7BAFD">
        <w:tblPrEx>
          <w:tblCellMar>
            <w:top w:w="0" w:type="dxa"/>
            <w:left w:w="108" w:type="dxa"/>
            <w:bottom w:w="0" w:type="dxa"/>
            <w:right w:w="108" w:type="dxa"/>
          </w:tblCellMar>
        </w:tblPrEx>
        <w:tc>
          <w:tcPr>
            <w:tcW w:w="2932" w:type="dxa"/>
            <w:tcBorders>
              <w:top w:val="nil"/>
              <w:left w:val="nil"/>
              <w:bottom w:val="nil"/>
              <w:right w:val="nil"/>
            </w:tcBorders>
          </w:tcPr>
          <w:p w14:paraId="6C323DED">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14:paraId="595D9F4D">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14:paraId="53C02F4E">
        <w:tblPrEx>
          <w:tblCellMar>
            <w:top w:w="0" w:type="dxa"/>
            <w:left w:w="108" w:type="dxa"/>
            <w:bottom w:w="0" w:type="dxa"/>
            <w:right w:w="108" w:type="dxa"/>
          </w:tblCellMar>
        </w:tblPrEx>
        <w:tc>
          <w:tcPr>
            <w:tcW w:w="2932" w:type="dxa"/>
            <w:tcBorders>
              <w:top w:val="nil"/>
              <w:left w:val="nil"/>
              <w:bottom w:val="nil"/>
              <w:right w:val="nil"/>
            </w:tcBorders>
          </w:tcPr>
          <w:p w14:paraId="55CA3EBB">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14:paraId="73B86078">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14:paraId="3FBE0BC7">
        <w:tblPrEx>
          <w:tblCellMar>
            <w:top w:w="0" w:type="dxa"/>
            <w:left w:w="108" w:type="dxa"/>
            <w:bottom w:w="0" w:type="dxa"/>
            <w:right w:w="108" w:type="dxa"/>
          </w:tblCellMar>
        </w:tblPrEx>
        <w:tc>
          <w:tcPr>
            <w:tcW w:w="2932" w:type="dxa"/>
            <w:tcBorders>
              <w:top w:val="nil"/>
              <w:left w:val="nil"/>
              <w:bottom w:val="nil"/>
              <w:right w:val="nil"/>
            </w:tcBorders>
          </w:tcPr>
          <w:p w14:paraId="63A44221">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14:paraId="635A7580">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67E1D8F7">
        <w:tblPrEx>
          <w:tblCellMar>
            <w:top w:w="0" w:type="dxa"/>
            <w:left w:w="108" w:type="dxa"/>
            <w:bottom w:w="0" w:type="dxa"/>
            <w:right w:w="108" w:type="dxa"/>
          </w:tblCellMar>
        </w:tblPrEx>
        <w:tc>
          <w:tcPr>
            <w:tcW w:w="2932" w:type="dxa"/>
            <w:tcBorders>
              <w:top w:val="nil"/>
              <w:left w:val="nil"/>
              <w:bottom w:val="nil"/>
              <w:right w:val="nil"/>
            </w:tcBorders>
          </w:tcPr>
          <w:p w14:paraId="513B11C0">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14:paraId="1AC8D042">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ED9E6F3">
        <w:tblPrEx>
          <w:tblCellMar>
            <w:top w:w="0" w:type="dxa"/>
            <w:left w:w="108" w:type="dxa"/>
            <w:bottom w:w="0" w:type="dxa"/>
            <w:right w:w="108" w:type="dxa"/>
          </w:tblCellMar>
        </w:tblPrEx>
        <w:tc>
          <w:tcPr>
            <w:tcW w:w="2932" w:type="dxa"/>
            <w:tcBorders>
              <w:top w:val="nil"/>
              <w:left w:val="nil"/>
              <w:bottom w:val="nil"/>
              <w:right w:val="nil"/>
            </w:tcBorders>
          </w:tcPr>
          <w:p w14:paraId="2F5C4EB2">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14:paraId="1F4E5780">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3C5D988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14:paraId="146E017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14:paraId="78EA81A6">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14:paraId="697116EA">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14:paraId="3F7EFB8D">
      <w:pPr>
        <w:pStyle w:val="2"/>
        <w:rPr>
          <w:rFonts w:hint="default" w:ascii="Times New Roman" w:hAnsi="Times New Roman" w:cs="Times New Roman"/>
        </w:rPr>
      </w:pPr>
    </w:p>
    <w:p w14:paraId="6B2A04A4">
      <w:pPr>
        <w:pStyle w:val="4"/>
        <w:bidi w:val="0"/>
        <w:outlineLvl w:val="9"/>
        <w:rPr>
          <w:rFonts w:hint="default" w:ascii="Times New Roman" w:hAnsi="Times New Roman" w:cs="Times New Roman"/>
        </w:rPr>
      </w:pPr>
      <w:bookmarkStart w:id="114" w:name="_Toc251"/>
    </w:p>
    <w:p w14:paraId="45405E58">
      <w:pPr>
        <w:pStyle w:val="4"/>
        <w:bidi w:val="0"/>
        <w:rPr>
          <w:rFonts w:hint="default" w:ascii="Times New Roman" w:hAnsi="Times New Roman" w:cs="Times New Roman"/>
        </w:rPr>
      </w:pPr>
      <w:bookmarkStart w:id="115" w:name="_Toc13611"/>
      <w:r>
        <w:rPr>
          <w:rFonts w:hint="default" w:ascii="Times New Roman" w:hAnsi="Times New Roman" w:cs="Times New Roman"/>
        </w:rPr>
        <w:t>格式5：合同履约承诺书</w:t>
      </w:r>
      <w:bookmarkEnd w:id="114"/>
      <w:bookmarkEnd w:id="115"/>
    </w:p>
    <w:p w14:paraId="520C8036">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14:paraId="31795B3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4656E6E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14:paraId="2F10FF0B">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14:paraId="20304630">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14:paraId="6AB89FEF">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14:paraId="7F1F8865">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14:paraId="7C09BC4A">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14:paraId="56716239">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14:paraId="4E567CD5">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14:paraId="0261083B">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14:paraId="3A5A636B">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14:paraId="1B957ACB">
      <w:pPr>
        <w:rPr>
          <w:rFonts w:hint="default" w:ascii="Times New Roman" w:hAnsi="Times New Roman" w:cs="Times New Roman"/>
        </w:rPr>
      </w:pPr>
    </w:p>
    <w:p w14:paraId="6A60198B">
      <w:pPr>
        <w:pStyle w:val="4"/>
        <w:bidi w:val="0"/>
        <w:rPr>
          <w:rFonts w:hint="default" w:ascii="Times New Roman" w:hAnsi="Times New Roman" w:cs="Times New Roman"/>
        </w:rPr>
      </w:pPr>
      <w:bookmarkStart w:id="116" w:name="_Toc30509"/>
      <w:bookmarkStart w:id="117" w:name="_Toc27420"/>
      <w:r>
        <w:rPr>
          <w:rFonts w:hint="default" w:ascii="Times New Roman" w:hAnsi="Times New Roman" w:cs="Times New Roman"/>
        </w:rPr>
        <w:t>格式6：质量保证措施承诺书</w:t>
      </w:r>
      <w:bookmarkEnd w:id="116"/>
      <w:bookmarkEnd w:id="117"/>
    </w:p>
    <w:p w14:paraId="72ECDAFF">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14:paraId="1F5A0FB9">
      <w:pPr>
        <w:spacing w:line="400" w:lineRule="exact"/>
        <w:rPr>
          <w:rFonts w:hint="default" w:ascii="Times New Roman" w:hAnsi="Times New Roman" w:cs="Times New Roman"/>
          <w:color w:val="000000" w:themeColor="text1"/>
          <w:sz w:val="24"/>
          <w:szCs w:val="24"/>
          <w14:textFill>
            <w14:solidFill>
              <w14:schemeClr w14:val="tx1"/>
            </w14:solidFill>
          </w14:textFill>
        </w:rPr>
      </w:pPr>
    </w:p>
    <w:p w14:paraId="151F829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14:paraId="7BA85EE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DLZEYZCB-2025-05</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14:paraId="6C60AC7C">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我方承诺提供以下质量保证并承担相应的法律责任：</w:t>
      </w:r>
    </w:p>
    <w:p w14:paraId="46C3EB7D">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18" w:name="_Toc6630_WPSOffice_Level2"/>
      <w:bookmarkStart w:id="119" w:name="_Toc6348_WPSOffice_Level2"/>
      <w:bookmarkStart w:id="120" w:name="_Toc29227_WPSOffice_Level2"/>
      <w:r>
        <w:rPr>
          <w:rFonts w:hint="default" w:ascii="Times New Roman" w:hAnsi="Times New Roman" w:eastAsia="方正仿宋_GBK" w:cs="Times New Roman"/>
          <w:color w:val="000000" w:themeColor="text1"/>
          <w:sz w:val="32"/>
          <w:szCs w:val="32"/>
          <w14:textFill>
            <w14:solidFill>
              <w14:schemeClr w14:val="tx1"/>
            </w14:solidFill>
          </w14:textFill>
        </w:rPr>
        <w:t>1、</w:t>
      </w:r>
      <w:bookmarkEnd w:id="118"/>
      <w:bookmarkEnd w:id="119"/>
      <w:bookmarkEnd w:id="120"/>
    </w:p>
    <w:p w14:paraId="518EDEBD">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121" w:name="_Toc16152_WPSOffice_Level2"/>
      <w:bookmarkStart w:id="122" w:name="_Toc19964_WPSOffice_Level2"/>
      <w:bookmarkStart w:id="123" w:name="_Toc3594_WPSOffice_Level2"/>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bookmarkEnd w:id="121"/>
      <w:bookmarkEnd w:id="122"/>
      <w:bookmarkEnd w:id="123"/>
    </w:p>
    <w:p w14:paraId="1270A4C6">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本保证书自开标之日起90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w:t>
      </w:r>
      <w:r>
        <w:rPr>
          <w:rFonts w:hint="default" w:ascii="Times New Roman" w:hAnsi="Times New Roman" w:eastAsia="方正仿宋_GBK" w:cs="Times New Roman"/>
          <w:color w:val="000000" w:themeColor="text1"/>
          <w:sz w:val="32"/>
          <w:szCs w:val="32"/>
          <w14:textFill>
            <w14:solidFill>
              <w14:schemeClr w14:val="tx1"/>
            </w14:solidFill>
          </w14:textFill>
        </w:rPr>
        <w:t>日历天内有效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如我方成交则至货物质保期满为止有效。</w:t>
      </w:r>
    </w:p>
    <w:p w14:paraId="18BC552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（无固定格式供应商自行拟写，</w:t>
      </w:r>
      <w:r>
        <w:rPr>
          <w:rFonts w:hint="default" w:ascii="Times New Roman" w:hAnsi="Times New Roman" w:cs="Times New Roman"/>
          <w:color w:val="000000" w:themeColor="text1"/>
          <w:sz w:val="32"/>
          <w:szCs w:val="32"/>
          <w:lang w:val="en-US" w:eastAsia="zh-CN"/>
          <w14:textFill>
            <w14:solidFill>
              <w14:schemeClr w14:val="tx1"/>
            </w14:solidFill>
          </w14:textFill>
        </w:rPr>
        <w:t>若有</w:t>
      </w:r>
      <w:r>
        <w:rPr>
          <w:rFonts w:hint="default" w:ascii="Times New Roman" w:hAnsi="Times New Roman" w:eastAsia="方正仿宋_GBK" w:cs="Times New Roman"/>
          <w:color w:val="000000" w:themeColor="text1"/>
          <w:sz w:val="32"/>
          <w:szCs w:val="32"/>
          <w14:textFill>
            <w14:solidFill>
              <w14:schemeClr w14:val="tx1"/>
            </w14:solidFill>
          </w14:textFill>
        </w:rPr>
        <w:t>相关证明材料复印件附后）</w:t>
      </w:r>
    </w:p>
    <w:p w14:paraId="74FB613A">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B86196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545B2C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C22B0C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BCE75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10935C0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3DBF829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4AF76D5B">
      <w:pPr>
        <w:rPr>
          <w:rFonts w:hint="default" w:ascii="Times New Roman" w:hAnsi="Times New Roman" w:cs="Times New Roman"/>
        </w:rPr>
      </w:pPr>
    </w:p>
    <w:p w14:paraId="5ACFF293">
      <w:pPr>
        <w:rPr>
          <w:rFonts w:hint="default" w:ascii="Times New Roman" w:hAnsi="Times New Roman" w:cs="Times New Roman"/>
          <w:lang w:val="en-US" w:eastAsia="zh-CN"/>
        </w:rPr>
      </w:pPr>
    </w:p>
    <w:p w14:paraId="43F2A830">
      <w:pPr>
        <w:pStyle w:val="2"/>
        <w:rPr>
          <w:rFonts w:hint="default" w:ascii="Times New Roman" w:hAnsi="Times New Roman" w:cs="Times New Roman"/>
          <w:lang w:val="en-US" w:eastAsia="zh-CN"/>
        </w:rPr>
      </w:pPr>
    </w:p>
    <w:p w14:paraId="2A6B51CC">
      <w:pPr>
        <w:rPr>
          <w:rFonts w:hint="default" w:ascii="Times New Roman" w:hAnsi="Times New Roman" w:cs="Times New Roman"/>
          <w:lang w:val="en-US" w:eastAsia="zh-CN"/>
        </w:rPr>
      </w:pPr>
    </w:p>
    <w:p w14:paraId="4CF6E1C3">
      <w:pPr>
        <w:pStyle w:val="2"/>
        <w:rPr>
          <w:rFonts w:hint="default" w:ascii="Times New Roman" w:hAnsi="Times New Roman" w:cs="Times New Roman"/>
          <w:lang w:val="en-US" w:eastAsia="zh-CN"/>
        </w:rPr>
      </w:pPr>
    </w:p>
    <w:p w14:paraId="19373E29">
      <w:pPr>
        <w:rPr>
          <w:rFonts w:hint="default" w:ascii="Times New Roman" w:hAnsi="Times New Roman" w:cs="Times New Roman"/>
          <w:lang w:val="en-US" w:eastAsia="zh-CN"/>
        </w:rPr>
      </w:pPr>
    </w:p>
    <w:p w14:paraId="633005EB">
      <w:pPr>
        <w:pStyle w:val="2"/>
        <w:rPr>
          <w:rFonts w:hint="default" w:ascii="Times New Roman" w:hAnsi="Times New Roman" w:cs="Times New Roman"/>
          <w:lang w:val="en-US" w:eastAsia="zh-CN"/>
        </w:rPr>
      </w:pPr>
    </w:p>
    <w:p w14:paraId="1488B327">
      <w:pPr>
        <w:pStyle w:val="4"/>
        <w:bidi w:val="0"/>
        <w:rPr>
          <w:rFonts w:hint="default" w:ascii="Times New Roman" w:hAnsi="Times New Roman" w:cs="Times New Roman"/>
        </w:rPr>
      </w:pPr>
      <w:bookmarkStart w:id="124" w:name="_Toc374"/>
      <w:bookmarkStart w:id="125" w:name="_Toc13018"/>
      <w:r>
        <w:rPr>
          <w:rFonts w:hint="default" w:ascii="Times New Roman" w:hAnsi="Times New Roman" w:cs="Times New Roman"/>
        </w:rPr>
        <w:t>格式7：</w:t>
      </w:r>
      <w:bookmarkEnd w:id="124"/>
      <w:bookmarkEnd w:id="125"/>
      <w:r>
        <w:rPr>
          <w:rFonts w:hint="default" w:ascii="Times New Roman" w:hAnsi="Times New Roman" w:cs="Times New Roman"/>
          <w:b/>
          <w:bCs/>
          <w:sz w:val="32"/>
          <w:szCs w:val="32"/>
          <w:highlight w:val="none"/>
        </w:rPr>
        <w:t>商务条款偏离表</w:t>
      </w:r>
    </w:p>
    <w:p w14:paraId="04A4181D">
      <w:pPr>
        <w:spacing w:line="288" w:lineRule="auto"/>
        <w:jc w:val="center"/>
        <w:outlineLvl w:val="1"/>
        <w:rPr>
          <w:rFonts w:hint="default" w:ascii="Times New Roman" w:hAnsi="Times New Roman" w:cs="Times New Roman"/>
          <w:sz w:val="24"/>
          <w:highlight w:val="none"/>
        </w:rPr>
      </w:pPr>
      <w:r>
        <w:rPr>
          <w:rFonts w:hint="default" w:ascii="Times New Roman" w:hAnsi="Times New Roman" w:cs="Times New Roman"/>
          <w:b/>
          <w:bCs/>
          <w:sz w:val="32"/>
          <w:szCs w:val="32"/>
          <w:highlight w:val="none"/>
        </w:rPr>
        <w:t>商务条款偏离表</w:t>
      </w:r>
    </w:p>
    <w:p w14:paraId="2941C660">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1.供应商须逐条对应询价文件中要求的商务条款认证填写该表；</w:t>
      </w:r>
    </w:p>
    <w:p w14:paraId="395CFE89">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2.商务条款是指：询价文件中</w:t>
      </w:r>
      <w:r>
        <w:rPr>
          <w:rFonts w:hint="default" w:ascii="Times New Roman" w:hAnsi="Times New Roman" w:eastAsia="仿宋_GB2312" w:cs="Times New Roman"/>
          <w:sz w:val="28"/>
          <w:szCs w:val="28"/>
          <w:highlight w:val="none"/>
          <w:lang w:val="en-US" w:eastAsia="zh-CN"/>
        </w:rPr>
        <w:t>第四章“三、商务要求”</w:t>
      </w:r>
      <w:r>
        <w:rPr>
          <w:rFonts w:hint="default" w:ascii="Times New Roman" w:hAnsi="Times New Roman" w:eastAsia="仿宋_GB2312" w:cs="Times New Roman"/>
          <w:sz w:val="28"/>
          <w:szCs w:val="28"/>
          <w:highlight w:val="none"/>
        </w:rPr>
        <w:t>要求的合同履行期限、质保期、付款方式、售后服务等要求。</w:t>
      </w:r>
    </w:p>
    <w:p w14:paraId="5BC5E821">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★未填写本表格的供应商将不能通过</w:t>
      </w:r>
      <w:r>
        <w:rPr>
          <w:rFonts w:hint="default" w:ascii="Times New Roman" w:hAnsi="Times New Roman" w:eastAsia="仿宋_GB2312" w:cs="Times New Roman"/>
          <w:sz w:val="28"/>
          <w:szCs w:val="28"/>
          <w:highlight w:val="none"/>
          <w:lang w:val="en-US" w:eastAsia="zh-CN"/>
        </w:rPr>
        <w:t>符合性评审</w:t>
      </w:r>
      <w:r>
        <w:rPr>
          <w:rFonts w:hint="default" w:ascii="Times New Roman" w:hAnsi="Times New Roman" w:eastAsia="仿宋_GB2312" w:cs="Times New Roman"/>
          <w:sz w:val="28"/>
          <w:szCs w:val="28"/>
          <w:highlight w:val="none"/>
        </w:rPr>
        <w:t>。</w:t>
      </w:r>
    </w:p>
    <w:p w14:paraId="358B70EC">
      <w:pPr>
        <w:keepNext w:val="0"/>
        <w:keepLines w:val="0"/>
        <w:pageBreakBefore w:val="0"/>
        <w:widowControl w:val="0"/>
        <w:kinsoku/>
        <w:wordWrap/>
        <w:overflowPunct/>
        <w:topLinePunct w:val="0"/>
        <w:autoSpaceDE/>
        <w:autoSpaceDN/>
        <w:bidi w:val="0"/>
        <w:adjustRightInd/>
        <w:snapToGrid/>
        <w:spacing w:line="460" w:lineRule="exact"/>
        <w:ind w:left="-205" w:leftChars="-64"/>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sym w:font="Wingdings 2" w:char="00A3"/>
      </w:r>
      <w:r>
        <w:rPr>
          <w:rFonts w:hint="default" w:ascii="Times New Roman" w:hAnsi="Times New Roman" w:eastAsia="仿宋_GB2312" w:cs="Times New Roman"/>
          <w:sz w:val="28"/>
          <w:szCs w:val="28"/>
          <w:highlight w:val="none"/>
        </w:rPr>
        <w:t>A、我公司已详细阅读询价文件中项商务要求，所有商务要求均无偏离，成交后我公司将严格遵照执行。</w:t>
      </w:r>
    </w:p>
    <w:p w14:paraId="1CB42759">
      <w:pPr>
        <w:keepNext w:val="0"/>
        <w:keepLines w:val="0"/>
        <w:pageBreakBefore w:val="0"/>
        <w:widowControl w:val="0"/>
        <w:kinsoku/>
        <w:wordWrap/>
        <w:overflowPunct/>
        <w:topLinePunct w:val="0"/>
        <w:autoSpaceDE/>
        <w:autoSpaceDN/>
        <w:bidi w:val="0"/>
        <w:adjustRightInd/>
        <w:snapToGrid/>
        <w:spacing w:line="460" w:lineRule="exact"/>
        <w:ind w:left="-205" w:leftChars="-64"/>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sym w:font="Wingdings 2" w:char="00A3"/>
      </w:r>
      <w:r>
        <w:rPr>
          <w:rFonts w:hint="default" w:ascii="Times New Roman" w:hAnsi="Times New Roman" w:eastAsia="仿宋_GB2312" w:cs="Times New Roman"/>
          <w:sz w:val="28"/>
          <w:szCs w:val="28"/>
          <w:highlight w:val="none"/>
        </w:rPr>
        <w:t>B、我公司已详细阅读询价文件中项商务要求，除下述条款有偏离外，其余条款我公司均予以认可，成交后将严格遵照执行。</w:t>
      </w:r>
    </w:p>
    <w:p w14:paraId="6136F9C8">
      <w:pPr>
        <w:keepNext w:val="0"/>
        <w:keepLines w:val="0"/>
        <w:pageBreakBefore w:val="0"/>
        <w:widowControl w:val="0"/>
        <w:kinsoku/>
        <w:wordWrap/>
        <w:overflowPunct/>
        <w:topLinePunct w:val="0"/>
        <w:autoSpaceDE/>
        <w:autoSpaceDN/>
        <w:bidi w:val="0"/>
        <w:adjustRightInd/>
        <w:snapToGrid/>
        <w:spacing w:line="460" w:lineRule="exact"/>
        <w:ind w:left="-205" w:leftChars="-64"/>
        <w:jc w:val="left"/>
        <w:textAlignment w:val="auto"/>
        <w:rPr>
          <w:rFonts w:hint="default" w:ascii="Times New Roman" w:hAnsi="Times New Roman" w:eastAsia="仿宋_GB2312" w:cs="Times New Roman"/>
          <w:sz w:val="28"/>
          <w:szCs w:val="28"/>
          <w:highlight w:val="none"/>
          <w:u w:val="single"/>
        </w:rPr>
      </w:pPr>
      <w:r>
        <w:rPr>
          <w:rFonts w:hint="default" w:ascii="Times New Roman" w:hAnsi="Times New Roman" w:eastAsia="仿宋_GB2312" w:cs="Times New Roman"/>
          <w:sz w:val="28"/>
          <w:szCs w:val="28"/>
          <w:highlight w:val="none"/>
        </w:rPr>
        <w:t>项目名称：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 xml:space="preserve">                                               项目编号：</w:t>
      </w:r>
      <w:r>
        <w:rPr>
          <w:rFonts w:hint="default" w:ascii="Times New Roman" w:hAnsi="Times New Roman" w:eastAsia="仿宋_GB2312" w:cs="Times New Roman"/>
          <w:sz w:val="28"/>
          <w:szCs w:val="28"/>
          <w:highlight w:val="none"/>
          <w:u w:val="single"/>
        </w:rPr>
        <w:t xml:space="preserve">                 </w:t>
      </w:r>
    </w:p>
    <w:tbl>
      <w:tblPr>
        <w:tblStyle w:val="1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91"/>
        <w:gridCol w:w="2064"/>
        <w:gridCol w:w="1546"/>
        <w:gridCol w:w="1185"/>
        <w:gridCol w:w="1870"/>
      </w:tblGrid>
      <w:tr w14:paraId="61E3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4" w:type="dxa"/>
            <w:vAlign w:val="center"/>
          </w:tcPr>
          <w:p w14:paraId="4998DB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序号</w:t>
            </w:r>
          </w:p>
        </w:tc>
        <w:tc>
          <w:tcPr>
            <w:tcW w:w="2091" w:type="dxa"/>
            <w:vAlign w:val="center"/>
          </w:tcPr>
          <w:p w14:paraId="6971E7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询价文件页码及条款号</w:t>
            </w:r>
          </w:p>
        </w:tc>
        <w:tc>
          <w:tcPr>
            <w:tcW w:w="2064" w:type="dxa"/>
            <w:vAlign w:val="center"/>
          </w:tcPr>
          <w:p w14:paraId="5F63A4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询价文件中的商务条款</w:t>
            </w:r>
          </w:p>
        </w:tc>
        <w:tc>
          <w:tcPr>
            <w:tcW w:w="1546" w:type="dxa"/>
            <w:vAlign w:val="center"/>
          </w:tcPr>
          <w:p w14:paraId="0C7798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报价文件中的商务条款</w:t>
            </w:r>
          </w:p>
        </w:tc>
        <w:tc>
          <w:tcPr>
            <w:tcW w:w="1185" w:type="dxa"/>
            <w:vAlign w:val="center"/>
          </w:tcPr>
          <w:p w14:paraId="209CE3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响应情况说明</w:t>
            </w:r>
          </w:p>
        </w:tc>
        <w:tc>
          <w:tcPr>
            <w:tcW w:w="1870" w:type="dxa"/>
            <w:vAlign w:val="center"/>
          </w:tcPr>
          <w:p w14:paraId="170C65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商务条款支持资料索引（页码及条目号等）</w:t>
            </w:r>
          </w:p>
        </w:tc>
      </w:tr>
      <w:tr w14:paraId="29B2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4" w:type="dxa"/>
            <w:vAlign w:val="center"/>
          </w:tcPr>
          <w:p w14:paraId="021834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91" w:type="dxa"/>
            <w:vAlign w:val="center"/>
          </w:tcPr>
          <w:p w14:paraId="097C2D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64" w:type="dxa"/>
            <w:vAlign w:val="center"/>
          </w:tcPr>
          <w:p w14:paraId="20869F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546" w:type="dxa"/>
            <w:vAlign w:val="center"/>
          </w:tcPr>
          <w:p w14:paraId="490222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185" w:type="dxa"/>
            <w:vAlign w:val="center"/>
          </w:tcPr>
          <w:p w14:paraId="5D9F3E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870" w:type="dxa"/>
            <w:vAlign w:val="center"/>
          </w:tcPr>
          <w:p w14:paraId="5700A5D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r>
      <w:tr w14:paraId="743B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14:paraId="2AEA55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91" w:type="dxa"/>
            <w:vAlign w:val="center"/>
          </w:tcPr>
          <w:p w14:paraId="3B3045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2064" w:type="dxa"/>
            <w:vAlign w:val="center"/>
          </w:tcPr>
          <w:p w14:paraId="478AC7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546" w:type="dxa"/>
            <w:vAlign w:val="center"/>
          </w:tcPr>
          <w:p w14:paraId="44D81B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185" w:type="dxa"/>
            <w:vAlign w:val="center"/>
          </w:tcPr>
          <w:p w14:paraId="29716E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c>
          <w:tcPr>
            <w:tcW w:w="1870" w:type="dxa"/>
            <w:vAlign w:val="center"/>
          </w:tcPr>
          <w:p w14:paraId="6328F8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28"/>
                <w:szCs w:val="28"/>
                <w:highlight w:val="none"/>
              </w:rPr>
            </w:pPr>
          </w:p>
        </w:tc>
      </w:tr>
    </w:tbl>
    <w:p w14:paraId="05756B2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表格填写说明：</w:t>
      </w:r>
    </w:p>
    <w:p w14:paraId="4EA9B77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1、供应商根据应根据实际情况，填写本表格，若无偏离，则勾选A项，签字盖章即可。若有偏离，则勾选B项，按表格要求及实际情况填写后，签字盖章。2、表格中“报价文件的商务条款要求”在填写时应注明该条款在报价文件中的页码及条款号。3、表格中“报价文件的商务条款”请根据实际响应情况如实、完整、准确的填写。4、本表格中内容与报价文件其余部分不一致的，以不利于供应商的位置为准。</w:t>
      </w:r>
    </w:p>
    <w:p w14:paraId="528D165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highlight w:val="none"/>
        </w:rPr>
      </w:pPr>
    </w:p>
    <w:p w14:paraId="3318F88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26" w:name="_Toc2934700"/>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17609B3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6108EC0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14:paraId="6A0F7BC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bookmarkEnd w:id="126"/>
      <w:r>
        <w:rPr>
          <w:rFonts w:hint="default" w:ascii="Times New Roman" w:hAnsi="Times New Roman" w:eastAsia="方正仿宋_GBK" w:cs="Times New Roman"/>
          <w:color w:val="000000" w:themeColor="text1"/>
          <w:sz w:val="32"/>
          <w:szCs w:val="32"/>
          <w14:textFill>
            <w14:solidFill>
              <w14:schemeClr w14:val="tx1"/>
            </w14:solidFill>
          </w14:textFill>
        </w:rPr>
        <w:t>　</w:t>
      </w:r>
      <w:bookmarkStart w:id="127" w:name="_Toc7994"/>
    </w:p>
    <w:p w14:paraId="1447BD2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格式8：售后服务方案</w:t>
      </w:r>
      <w:bookmarkEnd w:id="127"/>
    </w:p>
    <w:p w14:paraId="6DA29778">
      <w:pPr>
        <w:pStyle w:val="2"/>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方正仿宋_GBK" w:cs="Times New Roman"/>
          <w:b w:val="0"/>
          <w:bCs w:val="0"/>
          <w:sz w:val="32"/>
          <w:szCs w:val="32"/>
          <w:lang w:val="en-US"/>
        </w:rPr>
      </w:pPr>
      <w:bookmarkStart w:id="128" w:name="_Toc30375_WPSOffice_Level2"/>
      <w:bookmarkStart w:id="129" w:name="_Toc20599_WPSOffice_Level2"/>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（供应商根据采购文件第五章采购需求中的服务要求填写，格式自拟）</w:t>
      </w:r>
      <w:bookmarkEnd w:id="128"/>
      <w:bookmarkEnd w:id="129"/>
    </w:p>
    <w:p w14:paraId="724B910A">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9E1FBF9">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74AC7D2">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679CB602">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696E39F5">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77CA3425">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0ACD362E">
      <w:pPr>
        <w:spacing w:line="500" w:lineRule="exact"/>
        <w:outlineLvl w:val="9"/>
        <w:rPr>
          <w:rFonts w:hint="default" w:ascii="Times New Roman" w:hAnsi="Times New Roman" w:cs="Times New Roman"/>
          <w:b/>
          <w:color w:val="000000" w:themeColor="text1"/>
          <w:sz w:val="24"/>
          <w:szCs w:val="24"/>
          <w14:textFill>
            <w14:solidFill>
              <w14:schemeClr w14:val="tx1"/>
            </w14:solidFill>
          </w14:textFill>
        </w:rPr>
      </w:pPr>
    </w:p>
    <w:p w14:paraId="246E0A05">
      <w:pPr>
        <w:pStyle w:val="2"/>
        <w:rPr>
          <w:rFonts w:hint="default" w:ascii="Times New Roman" w:hAnsi="Times New Roman" w:cs="Times New Roman"/>
          <w:b/>
          <w:color w:val="000000" w:themeColor="text1"/>
          <w:sz w:val="24"/>
          <w:szCs w:val="24"/>
          <w14:textFill>
            <w14:solidFill>
              <w14:schemeClr w14:val="tx1"/>
            </w14:solidFill>
          </w14:textFill>
        </w:rPr>
      </w:pPr>
    </w:p>
    <w:p w14:paraId="3601AD12">
      <w:pPr>
        <w:rPr>
          <w:rFonts w:hint="default" w:ascii="Times New Roman" w:hAnsi="Times New Roman" w:cs="Times New Roman"/>
          <w:b/>
          <w:color w:val="000000" w:themeColor="text1"/>
          <w:sz w:val="24"/>
          <w:szCs w:val="24"/>
          <w14:textFill>
            <w14:solidFill>
              <w14:schemeClr w14:val="tx1"/>
            </w14:solidFill>
          </w14:textFill>
        </w:rPr>
      </w:pPr>
    </w:p>
    <w:p w14:paraId="605716F4">
      <w:pPr>
        <w:pStyle w:val="2"/>
        <w:rPr>
          <w:rFonts w:hint="default" w:ascii="Times New Roman" w:hAnsi="Times New Roman" w:cs="Times New Roman"/>
          <w:b/>
          <w:color w:val="000000" w:themeColor="text1"/>
          <w:sz w:val="24"/>
          <w:szCs w:val="24"/>
          <w14:textFill>
            <w14:solidFill>
              <w14:schemeClr w14:val="tx1"/>
            </w14:solidFill>
          </w14:textFill>
        </w:rPr>
      </w:pPr>
    </w:p>
    <w:p w14:paraId="3FBCCBA1">
      <w:pPr>
        <w:rPr>
          <w:rFonts w:hint="default" w:ascii="Times New Roman" w:hAnsi="Times New Roman" w:cs="Times New Roman"/>
          <w:b/>
          <w:color w:val="000000" w:themeColor="text1"/>
          <w:sz w:val="24"/>
          <w:szCs w:val="24"/>
          <w14:textFill>
            <w14:solidFill>
              <w14:schemeClr w14:val="tx1"/>
            </w14:solidFill>
          </w14:textFill>
        </w:rPr>
      </w:pPr>
    </w:p>
    <w:p w14:paraId="6A125917">
      <w:pPr>
        <w:pStyle w:val="2"/>
        <w:rPr>
          <w:rFonts w:hint="default" w:ascii="Times New Roman" w:hAnsi="Times New Roman" w:cs="Times New Roman"/>
          <w:b/>
          <w:color w:val="000000" w:themeColor="text1"/>
          <w:sz w:val="24"/>
          <w:szCs w:val="24"/>
          <w14:textFill>
            <w14:solidFill>
              <w14:schemeClr w14:val="tx1"/>
            </w14:solidFill>
          </w14:textFill>
        </w:rPr>
      </w:pPr>
    </w:p>
    <w:p w14:paraId="77F73133">
      <w:pPr>
        <w:rPr>
          <w:rFonts w:hint="default" w:ascii="Times New Roman" w:hAnsi="Times New Roman" w:cs="Times New Roman"/>
          <w:b/>
          <w:color w:val="000000" w:themeColor="text1"/>
          <w:sz w:val="24"/>
          <w:szCs w:val="24"/>
          <w14:textFill>
            <w14:solidFill>
              <w14:schemeClr w14:val="tx1"/>
            </w14:solidFill>
          </w14:textFill>
        </w:rPr>
      </w:pPr>
    </w:p>
    <w:p w14:paraId="3EAFC68C">
      <w:pPr>
        <w:pStyle w:val="2"/>
        <w:rPr>
          <w:rFonts w:hint="default" w:ascii="Times New Roman" w:hAnsi="Times New Roman" w:cs="Times New Roman"/>
          <w:b/>
          <w:color w:val="000000" w:themeColor="text1"/>
          <w:sz w:val="24"/>
          <w:szCs w:val="24"/>
          <w14:textFill>
            <w14:solidFill>
              <w14:schemeClr w14:val="tx1"/>
            </w14:solidFill>
          </w14:textFill>
        </w:rPr>
      </w:pPr>
    </w:p>
    <w:p w14:paraId="30138290">
      <w:pPr>
        <w:rPr>
          <w:rFonts w:hint="default" w:ascii="Times New Roman" w:hAnsi="Times New Roman" w:cs="Times New Roman"/>
          <w:b/>
          <w:color w:val="000000" w:themeColor="text1"/>
          <w:sz w:val="24"/>
          <w:szCs w:val="24"/>
          <w14:textFill>
            <w14:solidFill>
              <w14:schemeClr w14:val="tx1"/>
            </w14:solidFill>
          </w14:textFill>
        </w:rPr>
      </w:pPr>
    </w:p>
    <w:p w14:paraId="5332AC13">
      <w:pPr>
        <w:pStyle w:val="2"/>
        <w:rPr>
          <w:rFonts w:hint="default" w:ascii="Times New Roman" w:hAnsi="Times New Roman" w:cs="Times New Roman"/>
          <w:b/>
          <w:color w:val="000000" w:themeColor="text1"/>
          <w:sz w:val="24"/>
          <w:szCs w:val="24"/>
          <w14:textFill>
            <w14:solidFill>
              <w14:schemeClr w14:val="tx1"/>
            </w14:solidFill>
          </w14:textFill>
        </w:rPr>
      </w:pPr>
    </w:p>
    <w:p w14:paraId="412956AB">
      <w:pPr>
        <w:rPr>
          <w:rFonts w:hint="default" w:ascii="Times New Roman" w:hAnsi="Times New Roman" w:cs="Times New Roman"/>
          <w:b/>
          <w:color w:val="000000" w:themeColor="text1"/>
          <w:sz w:val="24"/>
          <w:szCs w:val="24"/>
          <w14:textFill>
            <w14:solidFill>
              <w14:schemeClr w14:val="tx1"/>
            </w14:solidFill>
          </w14:textFill>
        </w:rPr>
      </w:pPr>
    </w:p>
    <w:p w14:paraId="2610C951">
      <w:pPr>
        <w:pStyle w:val="2"/>
        <w:rPr>
          <w:rFonts w:hint="default" w:ascii="Times New Roman" w:hAnsi="Times New Roman" w:cs="Times New Roman"/>
          <w:b/>
          <w:color w:val="000000" w:themeColor="text1"/>
          <w:sz w:val="24"/>
          <w:szCs w:val="24"/>
          <w14:textFill>
            <w14:solidFill>
              <w14:schemeClr w14:val="tx1"/>
            </w14:solidFill>
          </w14:textFill>
        </w:rPr>
      </w:pPr>
    </w:p>
    <w:p w14:paraId="3AC2B797">
      <w:pPr>
        <w:rPr>
          <w:rFonts w:hint="default" w:ascii="Times New Roman" w:hAnsi="Times New Roman" w:cs="Times New Roman"/>
          <w:b/>
          <w:color w:val="000000" w:themeColor="text1"/>
          <w:sz w:val="24"/>
          <w:szCs w:val="24"/>
          <w14:textFill>
            <w14:solidFill>
              <w14:schemeClr w14:val="tx1"/>
            </w14:solidFill>
          </w14:textFill>
        </w:rPr>
      </w:pPr>
    </w:p>
    <w:p w14:paraId="7BB48F57">
      <w:pPr>
        <w:pStyle w:val="2"/>
        <w:rPr>
          <w:rFonts w:hint="default" w:ascii="Times New Roman" w:hAnsi="Times New Roman" w:cs="Times New Roman"/>
          <w:b/>
          <w:color w:val="000000" w:themeColor="text1"/>
          <w:sz w:val="24"/>
          <w:szCs w:val="24"/>
          <w14:textFill>
            <w14:solidFill>
              <w14:schemeClr w14:val="tx1"/>
            </w14:solidFill>
          </w14:textFill>
        </w:rPr>
      </w:pPr>
    </w:p>
    <w:p w14:paraId="73E58632">
      <w:pPr>
        <w:rPr>
          <w:rFonts w:hint="default" w:ascii="Times New Roman" w:hAnsi="Times New Roman" w:cs="Times New Roman"/>
          <w:b/>
          <w:color w:val="000000" w:themeColor="text1"/>
          <w:sz w:val="24"/>
          <w:szCs w:val="24"/>
          <w14:textFill>
            <w14:solidFill>
              <w14:schemeClr w14:val="tx1"/>
            </w14:solidFill>
          </w14:textFill>
        </w:rPr>
      </w:pPr>
    </w:p>
    <w:p w14:paraId="658D831B">
      <w:pPr>
        <w:pStyle w:val="2"/>
        <w:rPr>
          <w:rFonts w:hint="default" w:ascii="Times New Roman" w:hAnsi="Times New Roman" w:cs="Times New Roman"/>
          <w:b/>
          <w:color w:val="000000" w:themeColor="text1"/>
          <w:sz w:val="24"/>
          <w:szCs w:val="24"/>
          <w14:textFill>
            <w14:solidFill>
              <w14:schemeClr w14:val="tx1"/>
            </w14:solidFill>
          </w14:textFill>
        </w:rPr>
      </w:pPr>
    </w:p>
    <w:p w14:paraId="7DCCDD6F">
      <w:pPr>
        <w:rPr>
          <w:rFonts w:hint="default" w:ascii="Times New Roman" w:hAnsi="Times New Roman" w:cs="Times New Roman"/>
          <w:b/>
          <w:color w:val="000000" w:themeColor="text1"/>
          <w:sz w:val="24"/>
          <w:szCs w:val="24"/>
          <w14:textFill>
            <w14:solidFill>
              <w14:schemeClr w14:val="tx1"/>
            </w14:solidFill>
          </w14:textFill>
        </w:rPr>
      </w:pPr>
    </w:p>
    <w:p w14:paraId="2DBE6827">
      <w:pPr>
        <w:pStyle w:val="2"/>
        <w:rPr>
          <w:rFonts w:hint="default" w:ascii="Times New Roman" w:hAnsi="Times New Roman" w:cs="Times New Roman"/>
          <w:b/>
          <w:color w:val="000000" w:themeColor="text1"/>
          <w:sz w:val="24"/>
          <w:szCs w:val="24"/>
          <w14:textFill>
            <w14:solidFill>
              <w14:schemeClr w14:val="tx1"/>
            </w14:solidFill>
          </w14:textFill>
        </w:rPr>
      </w:pPr>
    </w:p>
    <w:p w14:paraId="194FFC6B">
      <w:pPr>
        <w:rPr>
          <w:rFonts w:hint="default" w:ascii="Times New Roman" w:hAnsi="Times New Roman" w:cs="Times New Roman"/>
        </w:rPr>
      </w:pPr>
    </w:p>
    <w:p w14:paraId="2225A6AC">
      <w:pPr>
        <w:rPr>
          <w:rFonts w:hint="default" w:ascii="Times New Roman" w:hAnsi="Times New Roman" w:cs="Times New Roman"/>
          <w:b/>
          <w:color w:val="000000" w:themeColor="text1"/>
          <w:sz w:val="24"/>
          <w:szCs w:val="24"/>
          <w14:textFill>
            <w14:solidFill>
              <w14:schemeClr w14:val="tx1"/>
            </w14:solidFill>
          </w14:textFill>
        </w:rPr>
      </w:pPr>
    </w:p>
    <w:p w14:paraId="7FD07199">
      <w:pPr>
        <w:pStyle w:val="2"/>
        <w:rPr>
          <w:rFonts w:hint="default" w:ascii="Times New Roman" w:hAnsi="Times New Roman" w:cs="Times New Roman"/>
        </w:rPr>
      </w:pPr>
    </w:p>
    <w:p w14:paraId="314940BA">
      <w:pPr>
        <w:pStyle w:val="4"/>
        <w:bidi w:val="0"/>
        <w:rPr>
          <w:rFonts w:hint="default" w:ascii="Times New Roman" w:hAnsi="Times New Roman" w:cs="Times New Roman"/>
        </w:rPr>
      </w:pPr>
      <w:bookmarkStart w:id="130" w:name="_Toc21973"/>
      <w:bookmarkStart w:id="131" w:name="_Toc14668"/>
      <w:bookmarkStart w:id="132" w:name="_Toc524645879"/>
      <w:bookmarkStart w:id="133" w:name="_Toc525845913"/>
      <w:bookmarkStart w:id="134" w:name="_Toc523263224"/>
      <w:bookmarkStart w:id="135" w:name="_Toc210298965"/>
      <w:bookmarkStart w:id="136" w:name="_Toc298160282"/>
      <w:r>
        <w:rPr>
          <w:rFonts w:hint="default" w:ascii="Times New Roman" w:hAnsi="Times New Roman" w:cs="Times New Roman"/>
          <w:lang w:val="en-US" w:eastAsia="zh-CN"/>
        </w:rPr>
        <w:t>格式9：无不良记录承诺书</w:t>
      </w:r>
      <w:bookmarkEnd w:id="130"/>
    </w:p>
    <w:bookmarkEnd w:id="131"/>
    <w:bookmarkEnd w:id="132"/>
    <w:bookmarkEnd w:id="133"/>
    <w:p w14:paraId="206EAA5E">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134"/>
    </w:p>
    <w:p w14:paraId="7E91B289">
      <w:pPr>
        <w:pStyle w:val="2"/>
        <w:rPr>
          <w:rFonts w:hint="default"/>
        </w:rPr>
      </w:pPr>
    </w:p>
    <w:bookmarkEnd w:id="135"/>
    <w:bookmarkEnd w:id="136"/>
    <w:p w14:paraId="283303AB">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eastAsia" w:ascii="Times New Roman" w:hAnsi="Times New Roman"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大理州第二人民医院</w:t>
      </w:r>
    </w:p>
    <w:p w14:paraId="22D006B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大理州第二人民医院2025年药物基因检测试剂耗材采购项目</w:t>
      </w:r>
      <w:r>
        <w:rPr>
          <w:rFonts w:hint="default" w:ascii="Times New Roman" w:hAnsi="Times New Roman" w:eastAsia="方正仿宋_GBK" w:cs="Times New Roman"/>
          <w:color w:val="000000" w:themeColor="text1"/>
          <w:sz w:val="32"/>
          <w:szCs w:val="32"/>
          <w14:textFill>
            <w14:solidFill>
              <w14:schemeClr w14:val="tx1"/>
            </w14:solidFill>
          </w14:textFill>
        </w:rPr>
        <w:t>的投标活动，我公司承诺，我公司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14:paraId="25CA381D">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14E2D5A">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14:paraId="1B4F63B1">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3CC56C26">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14:paraId="4927CBFF">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14:paraId="3EB1BB01">
      <w:pPr>
        <w:rPr>
          <w:rFonts w:hint="default" w:ascii="Times New Roman" w:hAnsi="Times New Roman" w:eastAsia="方正仿宋_GBK" w:cs="Times New Roman"/>
          <w:sz w:val="32"/>
          <w:szCs w:val="32"/>
        </w:rPr>
      </w:pPr>
    </w:p>
    <w:p w14:paraId="06636422">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7B2B3078">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59181E0B">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22E8DEBC">
      <w:pPr>
        <w:pStyle w:val="2"/>
        <w:rPr>
          <w:rFonts w:hint="default" w:ascii="Times New Roman" w:hAnsi="Times New Roman" w:cs="Times New Roman"/>
          <w:lang w:val="en-US" w:eastAsia="zh-CN"/>
        </w:rPr>
      </w:pPr>
    </w:p>
    <w:p w14:paraId="054903DB">
      <w:pPr>
        <w:rPr>
          <w:rFonts w:hint="default" w:ascii="Times New Roman" w:hAnsi="Times New Roman" w:cs="Times New Roman"/>
          <w:lang w:val="en-US" w:eastAsia="zh-CN"/>
        </w:rPr>
      </w:pPr>
    </w:p>
    <w:p w14:paraId="064E60D2">
      <w:pPr>
        <w:pStyle w:val="2"/>
        <w:rPr>
          <w:rFonts w:hint="default" w:ascii="Times New Roman" w:hAnsi="Times New Roman" w:cs="Times New Roman"/>
          <w:lang w:val="en-US" w:eastAsia="zh-CN"/>
        </w:rPr>
      </w:pPr>
    </w:p>
    <w:p w14:paraId="31467E09">
      <w:pPr>
        <w:rPr>
          <w:rFonts w:hint="default" w:ascii="Times New Roman" w:hAnsi="Times New Roman" w:cs="Times New Roman"/>
          <w:lang w:val="en-US" w:eastAsia="zh-CN"/>
        </w:rPr>
      </w:pPr>
    </w:p>
    <w:p w14:paraId="799BE338">
      <w:pPr>
        <w:pStyle w:val="2"/>
        <w:rPr>
          <w:rFonts w:hint="default" w:ascii="Times New Roman" w:hAnsi="Times New Roman" w:cs="Times New Roman"/>
          <w:lang w:val="en-US" w:eastAsia="zh-CN"/>
        </w:rPr>
      </w:pPr>
    </w:p>
    <w:p w14:paraId="4C3FBADE">
      <w:pPr>
        <w:rPr>
          <w:rFonts w:hint="default" w:ascii="Times New Roman" w:hAnsi="Times New Roman" w:cs="Times New Roman"/>
          <w:lang w:val="en-US" w:eastAsia="zh-CN"/>
        </w:rPr>
      </w:pPr>
    </w:p>
    <w:p w14:paraId="45581E8B">
      <w:pPr>
        <w:pStyle w:val="2"/>
        <w:rPr>
          <w:rFonts w:hint="default" w:ascii="Times New Roman" w:hAnsi="Times New Roman" w:cs="Times New Roman"/>
          <w:lang w:val="en-US" w:eastAsia="zh-CN"/>
        </w:rPr>
      </w:pPr>
    </w:p>
    <w:p w14:paraId="79D4B981">
      <w:pPr>
        <w:rPr>
          <w:rFonts w:hint="default" w:ascii="Times New Roman" w:hAnsi="Times New Roman" w:cs="Times New Roman"/>
          <w:lang w:val="en-US" w:eastAsia="zh-CN"/>
        </w:rPr>
      </w:pPr>
    </w:p>
    <w:p w14:paraId="7D103517">
      <w:pPr>
        <w:pStyle w:val="4"/>
        <w:bidi w:val="0"/>
        <w:outlineLvl w:val="9"/>
        <w:rPr>
          <w:rFonts w:hint="default" w:ascii="Times New Roman" w:hAnsi="Times New Roman" w:cs="Times New Roman"/>
        </w:rPr>
      </w:pPr>
      <w:bookmarkStart w:id="137" w:name="_Toc27886"/>
    </w:p>
    <w:p w14:paraId="05C62D82">
      <w:pPr>
        <w:pStyle w:val="4"/>
        <w:bidi w:val="0"/>
        <w:rPr>
          <w:rFonts w:hint="default" w:ascii="Times New Roman" w:hAnsi="Times New Roman" w:cs="Times New Roman"/>
        </w:rPr>
      </w:pPr>
      <w:bookmarkStart w:id="138" w:name="_Toc15426"/>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137"/>
      <w:bookmarkEnd w:id="138"/>
    </w:p>
    <w:p w14:paraId="60A19DF4">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14:paraId="1965BFC2">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5"/>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14:paraId="5C8B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14:paraId="4EA718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0FDAD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4F49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14:paraId="4276E9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14:paraId="45991C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11F851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582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14:paraId="5E023B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14:paraId="74D52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7E807D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14:paraId="25C475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6C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14:paraId="7BDD0C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14:paraId="16422D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58A51F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14:paraId="1FB0CA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191B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14:paraId="3789A1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14:paraId="7E3BDA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14:paraId="77C57B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14:paraId="4C3E55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08A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14:paraId="13EA51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F6B53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C10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14:paraId="24DF07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6BC307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81F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14:paraId="183EB6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14:paraId="20F572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14:paraId="4D2234D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F6AC3A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2637C5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14:paraId="34E4A62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14:paraId="669013D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4E0034E8">
      <w:pPr>
        <w:spacing w:line="600" w:lineRule="exact"/>
        <w:rPr>
          <w:rFonts w:hint="default" w:ascii="Times New Roman" w:hAnsi="Times New Roman" w:cs="Times New Roman"/>
          <w:color w:val="000000" w:themeColor="text1"/>
          <w:szCs w:val="24"/>
          <w14:textFill>
            <w14:solidFill>
              <w14:schemeClr w14:val="tx1"/>
            </w14:solidFill>
          </w14:textFill>
        </w:rPr>
      </w:pPr>
    </w:p>
    <w:p w14:paraId="40EA06E2">
      <w:pPr>
        <w:spacing w:line="600" w:lineRule="exact"/>
        <w:rPr>
          <w:rFonts w:hint="default" w:ascii="Times New Roman" w:hAnsi="Times New Roman" w:cs="Times New Roman"/>
          <w:color w:val="000000" w:themeColor="text1"/>
          <w:szCs w:val="24"/>
          <w14:textFill>
            <w14:solidFill>
              <w14:schemeClr w14:val="tx1"/>
            </w14:solidFill>
          </w14:textFill>
        </w:rPr>
      </w:pPr>
    </w:p>
    <w:p w14:paraId="026B941C">
      <w:pPr>
        <w:rPr>
          <w:rFonts w:hint="default" w:ascii="Times New Roman" w:hAnsi="Times New Roman" w:eastAsia="方正黑体_GBK" w:cs="Times New Roman"/>
          <w:b/>
          <w:kern w:val="0"/>
          <w:sz w:val="32"/>
          <w:szCs w:val="24"/>
          <w:lang w:val="en-US" w:eastAsia="zh-CN" w:bidi="ar-SA"/>
        </w:rPr>
      </w:pPr>
      <w:r>
        <w:rPr>
          <w:rFonts w:hint="default" w:ascii="Times New Roman" w:hAnsi="Times New Roman" w:eastAsia="方正黑体_GBK" w:cs="Times New Roman"/>
          <w:b/>
          <w:kern w:val="0"/>
          <w:sz w:val="32"/>
          <w:szCs w:val="24"/>
          <w:lang w:val="en-US" w:eastAsia="zh-CN" w:bidi="ar-SA"/>
        </w:rPr>
        <w:t>格式1</w:t>
      </w:r>
      <w:r>
        <w:rPr>
          <w:rFonts w:hint="eastAsia" w:ascii="Times New Roman" w:hAnsi="Times New Roman" w:eastAsia="方正黑体_GBK" w:cs="Times New Roman"/>
          <w:b/>
          <w:kern w:val="0"/>
          <w:sz w:val="32"/>
          <w:szCs w:val="24"/>
          <w:lang w:val="en-US" w:eastAsia="zh-CN" w:bidi="ar-SA"/>
        </w:rPr>
        <w:t>1</w:t>
      </w:r>
      <w:r>
        <w:rPr>
          <w:rFonts w:hint="default" w:ascii="Times New Roman" w:hAnsi="Times New Roman" w:eastAsia="方正黑体_GBK" w:cs="Times New Roman"/>
          <w:b/>
          <w:kern w:val="0"/>
          <w:sz w:val="32"/>
          <w:szCs w:val="24"/>
          <w:lang w:val="en-US" w:eastAsia="zh-CN" w:bidi="ar-SA"/>
        </w:rPr>
        <w:t>：大理州第二人民医院2025年</w:t>
      </w:r>
      <w:r>
        <w:rPr>
          <w:rFonts w:hint="eastAsia" w:ascii="Times New Roman" w:hAnsi="Times New Roman" w:eastAsia="方正黑体_GBK" w:cs="Times New Roman"/>
          <w:b/>
          <w:kern w:val="0"/>
          <w:sz w:val="32"/>
          <w:szCs w:val="24"/>
          <w:lang w:val="en-US" w:eastAsia="zh-CN" w:bidi="ar-SA"/>
        </w:rPr>
        <w:t>药物基因检测试剂耗材采购项目报价</w:t>
      </w:r>
      <w:r>
        <w:rPr>
          <w:rFonts w:hint="default" w:ascii="Times New Roman" w:hAnsi="Times New Roman" w:eastAsia="方正黑体_GBK" w:cs="Times New Roman"/>
          <w:b/>
          <w:kern w:val="0"/>
          <w:sz w:val="32"/>
          <w:szCs w:val="24"/>
          <w:lang w:val="en-US" w:eastAsia="zh-CN" w:bidi="ar-SA"/>
        </w:rPr>
        <w:t>清单</w:t>
      </w:r>
    </w:p>
    <w:tbl>
      <w:tblPr>
        <w:tblStyle w:val="16"/>
        <w:tblW w:w="966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5"/>
        <w:gridCol w:w="1410"/>
        <w:gridCol w:w="975"/>
        <w:gridCol w:w="600"/>
        <w:gridCol w:w="1380"/>
        <w:gridCol w:w="885"/>
        <w:gridCol w:w="1110"/>
        <w:gridCol w:w="720"/>
        <w:gridCol w:w="885"/>
      </w:tblGrid>
      <w:tr w14:paraId="3429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26075178">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1185" w:type="dxa"/>
            <w:vAlign w:val="center"/>
          </w:tcPr>
          <w:p w14:paraId="6341DE31">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耗材名称</w:t>
            </w:r>
          </w:p>
        </w:tc>
        <w:tc>
          <w:tcPr>
            <w:tcW w:w="1410" w:type="dxa"/>
            <w:vAlign w:val="center"/>
          </w:tcPr>
          <w:p w14:paraId="5F390213">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规格型号</w:t>
            </w:r>
          </w:p>
        </w:tc>
        <w:tc>
          <w:tcPr>
            <w:tcW w:w="975" w:type="dxa"/>
            <w:vAlign w:val="center"/>
          </w:tcPr>
          <w:p w14:paraId="242E4CF4">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生产厂家</w:t>
            </w:r>
          </w:p>
        </w:tc>
        <w:tc>
          <w:tcPr>
            <w:tcW w:w="600" w:type="dxa"/>
            <w:vAlign w:val="center"/>
          </w:tcPr>
          <w:p w14:paraId="1F6C50DA">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预算单位</w:t>
            </w:r>
          </w:p>
        </w:tc>
        <w:tc>
          <w:tcPr>
            <w:tcW w:w="1380" w:type="dxa"/>
            <w:vAlign w:val="center"/>
          </w:tcPr>
          <w:p w14:paraId="36303050">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预算单价（元）</w:t>
            </w:r>
          </w:p>
        </w:tc>
        <w:tc>
          <w:tcPr>
            <w:tcW w:w="885" w:type="dxa"/>
            <w:vAlign w:val="center"/>
          </w:tcPr>
          <w:p w14:paraId="0F2180A4">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下浮率（%）</w:t>
            </w:r>
          </w:p>
        </w:tc>
        <w:tc>
          <w:tcPr>
            <w:tcW w:w="1110" w:type="dxa"/>
            <w:vAlign w:val="center"/>
          </w:tcPr>
          <w:p w14:paraId="34ED0B2A">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投标单价（元）</w:t>
            </w:r>
          </w:p>
        </w:tc>
        <w:tc>
          <w:tcPr>
            <w:tcW w:w="720" w:type="dxa"/>
            <w:vAlign w:val="center"/>
          </w:tcPr>
          <w:p w14:paraId="44834E2F">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供货单位</w:t>
            </w:r>
          </w:p>
        </w:tc>
        <w:tc>
          <w:tcPr>
            <w:tcW w:w="885" w:type="dxa"/>
            <w:vAlign w:val="center"/>
          </w:tcPr>
          <w:p w14:paraId="0FE1F9B1">
            <w:pP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供货单价（元）</w:t>
            </w:r>
          </w:p>
        </w:tc>
      </w:tr>
      <w:tr w14:paraId="200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EFAC37D">
            <w:pPr>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1185" w:type="dxa"/>
          </w:tcPr>
          <w:p w14:paraId="6AC8F65A">
            <w:pPr>
              <w:rPr>
                <w:rFonts w:hint="default" w:ascii="Times New Roman" w:hAnsi="Times New Roman" w:cs="Times New Roman"/>
                <w:sz w:val="18"/>
                <w:szCs w:val="18"/>
                <w:vertAlign w:val="baseline"/>
                <w:lang w:val="en-US" w:eastAsia="zh-CN"/>
              </w:rPr>
            </w:pPr>
          </w:p>
        </w:tc>
        <w:tc>
          <w:tcPr>
            <w:tcW w:w="1410" w:type="dxa"/>
          </w:tcPr>
          <w:p w14:paraId="3FDD1D42">
            <w:pPr>
              <w:rPr>
                <w:rFonts w:hint="default" w:ascii="Times New Roman" w:hAnsi="Times New Roman" w:cs="Times New Roman"/>
                <w:sz w:val="18"/>
                <w:szCs w:val="18"/>
                <w:vertAlign w:val="baseline"/>
                <w:lang w:val="en-US" w:eastAsia="zh-CN"/>
              </w:rPr>
            </w:pPr>
          </w:p>
        </w:tc>
        <w:tc>
          <w:tcPr>
            <w:tcW w:w="975" w:type="dxa"/>
          </w:tcPr>
          <w:p w14:paraId="7B84E19B">
            <w:pPr>
              <w:rPr>
                <w:rFonts w:hint="default" w:ascii="Times New Roman" w:hAnsi="Times New Roman" w:cs="Times New Roman"/>
                <w:sz w:val="18"/>
                <w:szCs w:val="18"/>
                <w:vertAlign w:val="baseline"/>
                <w:lang w:val="en-US" w:eastAsia="zh-CN"/>
              </w:rPr>
            </w:pPr>
          </w:p>
        </w:tc>
        <w:tc>
          <w:tcPr>
            <w:tcW w:w="600" w:type="dxa"/>
          </w:tcPr>
          <w:p w14:paraId="17D42FCC">
            <w:pPr>
              <w:rPr>
                <w:rFonts w:hint="default" w:ascii="Times New Roman" w:hAnsi="Times New Roman" w:cs="Times New Roman"/>
                <w:sz w:val="18"/>
                <w:szCs w:val="18"/>
                <w:vertAlign w:val="baseline"/>
                <w:lang w:val="en-US" w:eastAsia="zh-CN"/>
              </w:rPr>
            </w:pPr>
          </w:p>
        </w:tc>
        <w:tc>
          <w:tcPr>
            <w:tcW w:w="1380" w:type="dxa"/>
          </w:tcPr>
          <w:p w14:paraId="07DCB85F">
            <w:pPr>
              <w:rPr>
                <w:rFonts w:hint="default" w:ascii="Times New Roman" w:hAnsi="Times New Roman" w:cs="Times New Roman"/>
                <w:sz w:val="18"/>
                <w:szCs w:val="18"/>
                <w:vertAlign w:val="baseline"/>
                <w:lang w:val="en-US" w:eastAsia="zh-CN"/>
              </w:rPr>
            </w:pPr>
          </w:p>
        </w:tc>
        <w:tc>
          <w:tcPr>
            <w:tcW w:w="885" w:type="dxa"/>
            <w:vMerge w:val="restart"/>
          </w:tcPr>
          <w:p w14:paraId="313AC7AD">
            <w:pPr>
              <w:rPr>
                <w:rFonts w:hint="default" w:ascii="Times New Roman" w:hAnsi="Times New Roman" w:cs="Times New Roman"/>
                <w:sz w:val="18"/>
                <w:szCs w:val="18"/>
                <w:vertAlign w:val="baseline"/>
                <w:lang w:val="en-US" w:eastAsia="zh-CN"/>
              </w:rPr>
            </w:pPr>
          </w:p>
        </w:tc>
        <w:tc>
          <w:tcPr>
            <w:tcW w:w="1110" w:type="dxa"/>
          </w:tcPr>
          <w:p w14:paraId="50169E41">
            <w:pPr>
              <w:rPr>
                <w:rFonts w:hint="default" w:ascii="Times New Roman" w:hAnsi="Times New Roman" w:cs="Times New Roman"/>
                <w:sz w:val="18"/>
                <w:szCs w:val="18"/>
                <w:vertAlign w:val="baseline"/>
                <w:lang w:val="en-US" w:eastAsia="zh-CN"/>
              </w:rPr>
            </w:pPr>
          </w:p>
        </w:tc>
        <w:tc>
          <w:tcPr>
            <w:tcW w:w="720" w:type="dxa"/>
          </w:tcPr>
          <w:p w14:paraId="36D649B2">
            <w:pPr>
              <w:rPr>
                <w:rFonts w:hint="default" w:ascii="Times New Roman" w:hAnsi="Times New Roman" w:cs="Times New Roman"/>
                <w:sz w:val="18"/>
                <w:szCs w:val="18"/>
                <w:vertAlign w:val="baseline"/>
                <w:lang w:val="en-US" w:eastAsia="zh-CN"/>
              </w:rPr>
            </w:pPr>
          </w:p>
        </w:tc>
        <w:tc>
          <w:tcPr>
            <w:tcW w:w="885" w:type="dxa"/>
          </w:tcPr>
          <w:p w14:paraId="764A064F">
            <w:pPr>
              <w:rPr>
                <w:rFonts w:hint="default" w:ascii="Times New Roman" w:hAnsi="Times New Roman" w:cs="Times New Roman"/>
                <w:sz w:val="18"/>
                <w:szCs w:val="18"/>
                <w:vertAlign w:val="baseline"/>
                <w:lang w:val="en-US" w:eastAsia="zh-CN"/>
              </w:rPr>
            </w:pPr>
          </w:p>
        </w:tc>
      </w:tr>
      <w:tr w14:paraId="2CE2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98F8E7C">
            <w:pPr>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185" w:type="dxa"/>
          </w:tcPr>
          <w:p w14:paraId="12369BF2">
            <w:pPr>
              <w:rPr>
                <w:rFonts w:hint="default" w:ascii="Times New Roman" w:hAnsi="Times New Roman" w:cs="Times New Roman"/>
                <w:sz w:val="18"/>
                <w:szCs w:val="18"/>
                <w:vertAlign w:val="baseline"/>
                <w:lang w:val="en-US" w:eastAsia="zh-CN"/>
              </w:rPr>
            </w:pPr>
          </w:p>
        </w:tc>
        <w:tc>
          <w:tcPr>
            <w:tcW w:w="1410" w:type="dxa"/>
          </w:tcPr>
          <w:p w14:paraId="32A1ED7B">
            <w:pPr>
              <w:rPr>
                <w:rFonts w:hint="default" w:ascii="Times New Roman" w:hAnsi="Times New Roman" w:cs="Times New Roman"/>
                <w:sz w:val="18"/>
                <w:szCs w:val="18"/>
                <w:vertAlign w:val="baseline"/>
                <w:lang w:val="en-US" w:eastAsia="zh-CN"/>
              </w:rPr>
            </w:pPr>
          </w:p>
        </w:tc>
        <w:tc>
          <w:tcPr>
            <w:tcW w:w="975" w:type="dxa"/>
          </w:tcPr>
          <w:p w14:paraId="57B9E048">
            <w:pPr>
              <w:rPr>
                <w:rFonts w:hint="default" w:ascii="Times New Roman" w:hAnsi="Times New Roman" w:cs="Times New Roman"/>
                <w:sz w:val="18"/>
                <w:szCs w:val="18"/>
                <w:vertAlign w:val="baseline"/>
                <w:lang w:val="en-US" w:eastAsia="zh-CN"/>
              </w:rPr>
            </w:pPr>
          </w:p>
        </w:tc>
        <w:tc>
          <w:tcPr>
            <w:tcW w:w="600" w:type="dxa"/>
          </w:tcPr>
          <w:p w14:paraId="3F1BED29">
            <w:pPr>
              <w:rPr>
                <w:rFonts w:hint="default" w:ascii="Times New Roman" w:hAnsi="Times New Roman" w:cs="Times New Roman"/>
                <w:sz w:val="18"/>
                <w:szCs w:val="18"/>
                <w:vertAlign w:val="baseline"/>
                <w:lang w:val="en-US" w:eastAsia="zh-CN"/>
              </w:rPr>
            </w:pPr>
          </w:p>
        </w:tc>
        <w:tc>
          <w:tcPr>
            <w:tcW w:w="1380" w:type="dxa"/>
          </w:tcPr>
          <w:p w14:paraId="531FBD52">
            <w:pPr>
              <w:rPr>
                <w:rFonts w:hint="default" w:ascii="Times New Roman" w:hAnsi="Times New Roman" w:cs="Times New Roman"/>
                <w:sz w:val="18"/>
                <w:szCs w:val="18"/>
                <w:vertAlign w:val="baseline"/>
                <w:lang w:val="en-US" w:eastAsia="zh-CN"/>
              </w:rPr>
            </w:pPr>
          </w:p>
        </w:tc>
        <w:tc>
          <w:tcPr>
            <w:tcW w:w="885" w:type="dxa"/>
            <w:vMerge w:val="continue"/>
          </w:tcPr>
          <w:p w14:paraId="1325861A">
            <w:pPr>
              <w:rPr>
                <w:rFonts w:hint="default" w:ascii="Times New Roman" w:hAnsi="Times New Roman" w:cs="Times New Roman"/>
                <w:sz w:val="18"/>
                <w:szCs w:val="18"/>
                <w:vertAlign w:val="baseline"/>
                <w:lang w:val="en-US" w:eastAsia="zh-CN"/>
              </w:rPr>
            </w:pPr>
          </w:p>
        </w:tc>
        <w:tc>
          <w:tcPr>
            <w:tcW w:w="1110" w:type="dxa"/>
          </w:tcPr>
          <w:p w14:paraId="0358E2C1">
            <w:pPr>
              <w:rPr>
                <w:rFonts w:hint="default" w:ascii="Times New Roman" w:hAnsi="Times New Roman" w:cs="Times New Roman"/>
                <w:sz w:val="18"/>
                <w:szCs w:val="18"/>
                <w:vertAlign w:val="baseline"/>
                <w:lang w:val="en-US" w:eastAsia="zh-CN"/>
              </w:rPr>
            </w:pPr>
          </w:p>
        </w:tc>
        <w:tc>
          <w:tcPr>
            <w:tcW w:w="720" w:type="dxa"/>
          </w:tcPr>
          <w:p w14:paraId="2981D151">
            <w:pPr>
              <w:rPr>
                <w:rFonts w:hint="default" w:ascii="Times New Roman" w:hAnsi="Times New Roman" w:cs="Times New Roman"/>
                <w:sz w:val="18"/>
                <w:szCs w:val="18"/>
                <w:vertAlign w:val="baseline"/>
                <w:lang w:val="en-US" w:eastAsia="zh-CN"/>
              </w:rPr>
            </w:pPr>
          </w:p>
        </w:tc>
        <w:tc>
          <w:tcPr>
            <w:tcW w:w="885" w:type="dxa"/>
          </w:tcPr>
          <w:p w14:paraId="2AB8DE6D">
            <w:pPr>
              <w:rPr>
                <w:rFonts w:hint="default" w:ascii="Times New Roman" w:hAnsi="Times New Roman" w:cs="Times New Roman"/>
                <w:sz w:val="18"/>
                <w:szCs w:val="18"/>
                <w:vertAlign w:val="baseline"/>
                <w:lang w:val="en-US" w:eastAsia="zh-CN"/>
              </w:rPr>
            </w:pPr>
          </w:p>
        </w:tc>
      </w:tr>
      <w:tr w14:paraId="7E5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160BB8EB">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1185" w:type="dxa"/>
          </w:tcPr>
          <w:p w14:paraId="3B38A1C7">
            <w:pPr>
              <w:rPr>
                <w:rFonts w:hint="default" w:ascii="Times New Roman" w:hAnsi="Times New Roman" w:cs="Times New Roman"/>
                <w:sz w:val="18"/>
                <w:szCs w:val="18"/>
                <w:vertAlign w:val="baseline"/>
                <w:lang w:val="en-US" w:eastAsia="zh-CN"/>
              </w:rPr>
            </w:pPr>
          </w:p>
        </w:tc>
        <w:tc>
          <w:tcPr>
            <w:tcW w:w="1410" w:type="dxa"/>
          </w:tcPr>
          <w:p w14:paraId="2A5EE64C">
            <w:pPr>
              <w:rPr>
                <w:rFonts w:hint="default" w:ascii="Times New Roman" w:hAnsi="Times New Roman" w:cs="Times New Roman"/>
                <w:sz w:val="18"/>
                <w:szCs w:val="18"/>
                <w:vertAlign w:val="baseline"/>
                <w:lang w:val="en-US" w:eastAsia="zh-CN"/>
              </w:rPr>
            </w:pPr>
          </w:p>
        </w:tc>
        <w:tc>
          <w:tcPr>
            <w:tcW w:w="975" w:type="dxa"/>
          </w:tcPr>
          <w:p w14:paraId="399B5C10">
            <w:pPr>
              <w:rPr>
                <w:rFonts w:hint="default" w:ascii="Times New Roman" w:hAnsi="Times New Roman" w:cs="Times New Roman"/>
                <w:sz w:val="18"/>
                <w:szCs w:val="18"/>
                <w:vertAlign w:val="baseline"/>
                <w:lang w:val="en-US" w:eastAsia="zh-CN"/>
              </w:rPr>
            </w:pPr>
          </w:p>
        </w:tc>
        <w:tc>
          <w:tcPr>
            <w:tcW w:w="600" w:type="dxa"/>
          </w:tcPr>
          <w:p w14:paraId="4F4F9436">
            <w:pPr>
              <w:rPr>
                <w:rFonts w:hint="default" w:ascii="Times New Roman" w:hAnsi="Times New Roman" w:cs="Times New Roman"/>
                <w:sz w:val="18"/>
                <w:szCs w:val="18"/>
                <w:vertAlign w:val="baseline"/>
                <w:lang w:val="en-US" w:eastAsia="zh-CN"/>
              </w:rPr>
            </w:pPr>
          </w:p>
        </w:tc>
        <w:tc>
          <w:tcPr>
            <w:tcW w:w="1380" w:type="dxa"/>
          </w:tcPr>
          <w:p w14:paraId="1F30E3CD">
            <w:pPr>
              <w:rPr>
                <w:rFonts w:hint="default" w:ascii="Times New Roman" w:hAnsi="Times New Roman" w:cs="Times New Roman"/>
                <w:sz w:val="18"/>
                <w:szCs w:val="18"/>
                <w:vertAlign w:val="baseline"/>
                <w:lang w:val="en-US" w:eastAsia="zh-CN"/>
              </w:rPr>
            </w:pPr>
          </w:p>
        </w:tc>
        <w:tc>
          <w:tcPr>
            <w:tcW w:w="885" w:type="dxa"/>
            <w:vMerge w:val="continue"/>
          </w:tcPr>
          <w:p w14:paraId="61611813">
            <w:pPr>
              <w:rPr>
                <w:rFonts w:hint="default" w:ascii="Times New Roman" w:hAnsi="Times New Roman" w:cs="Times New Roman"/>
                <w:sz w:val="18"/>
                <w:szCs w:val="18"/>
                <w:vertAlign w:val="baseline"/>
                <w:lang w:val="en-US" w:eastAsia="zh-CN"/>
              </w:rPr>
            </w:pPr>
          </w:p>
        </w:tc>
        <w:tc>
          <w:tcPr>
            <w:tcW w:w="1110" w:type="dxa"/>
          </w:tcPr>
          <w:p w14:paraId="00C4F053">
            <w:pPr>
              <w:rPr>
                <w:rFonts w:hint="default" w:ascii="Times New Roman" w:hAnsi="Times New Roman" w:cs="Times New Roman"/>
                <w:sz w:val="18"/>
                <w:szCs w:val="18"/>
                <w:vertAlign w:val="baseline"/>
                <w:lang w:val="en-US" w:eastAsia="zh-CN"/>
              </w:rPr>
            </w:pPr>
          </w:p>
        </w:tc>
        <w:tc>
          <w:tcPr>
            <w:tcW w:w="720" w:type="dxa"/>
          </w:tcPr>
          <w:p w14:paraId="4345C9CF">
            <w:pPr>
              <w:rPr>
                <w:rFonts w:hint="default" w:ascii="Times New Roman" w:hAnsi="Times New Roman" w:cs="Times New Roman"/>
                <w:sz w:val="18"/>
                <w:szCs w:val="18"/>
                <w:vertAlign w:val="baseline"/>
                <w:lang w:val="en-US" w:eastAsia="zh-CN"/>
              </w:rPr>
            </w:pPr>
          </w:p>
        </w:tc>
        <w:tc>
          <w:tcPr>
            <w:tcW w:w="885" w:type="dxa"/>
          </w:tcPr>
          <w:p w14:paraId="2E897505">
            <w:pPr>
              <w:rPr>
                <w:rFonts w:hint="default" w:ascii="Times New Roman" w:hAnsi="Times New Roman" w:cs="Times New Roman"/>
                <w:sz w:val="18"/>
                <w:szCs w:val="18"/>
                <w:vertAlign w:val="baseline"/>
                <w:lang w:val="en-US" w:eastAsia="zh-CN"/>
              </w:rPr>
            </w:pPr>
          </w:p>
        </w:tc>
      </w:tr>
      <w:tr w14:paraId="5C3E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369786E">
            <w:pPr>
              <w:jc w:val="center"/>
              <w:rPr>
                <w:rFonts w:hint="default" w:ascii="Times New Roman" w:hAnsi="Times New Roman" w:cs="Times New Roman"/>
                <w:sz w:val="18"/>
                <w:szCs w:val="18"/>
                <w:vertAlign w:val="baseline"/>
                <w:lang w:val="en-US" w:eastAsia="zh-CN"/>
              </w:rPr>
            </w:pPr>
            <w:bookmarkStart w:id="139" w:name="OLE_LINK2"/>
            <w:r>
              <w:rPr>
                <w:rFonts w:hint="eastAsia" w:ascii="Times New Roman" w:hAnsi="Times New Roman" w:cs="Times New Roman"/>
                <w:sz w:val="18"/>
                <w:szCs w:val="18"/>
                <w:vertAlign w:val="baseline"/>
                <w:lang w:val="en-US" w:eastAsia="zh-CN"/>
              </w:rPr>
              <w:t>4</w:t>
            </w:r>
          </w:p>
        </w:tc>
        <w:tc>
          <w:tcPr>
            <w:tcW w:w="1185" w:type="dxa"/>
          </w:tcPr>
          <w:p w14:paraId="3A2CD7BD">
            <w:pPr>
              <w:rPr>
                <w:rFonts w:hint="default" w:ascii="Times New Roman" w:hAnsi="Times New Roman" w:cs="Times New Roman"/>
                <w:sz w:val="18"/>
                <w:szCs w:val="18"/>
                <w:vertAlign w:val="baseline"/>
                <w:lang w:val="en-US" w:eastAsia="zh-CN"/>
              </w:rPr>
            </w:pPr>
          </w:p>
        </w:tc>
        <w:tc>
          <w:tcPr>
            <w:tcW w:w="1410" w:type="dxa"/>
          </w:tcPr>
          <w:p w14:paraId="3C0E4C3C">
            <w:pPr>
              <w:rPr>
                <w:rFonts w:hint="default" w:ascii="Times New Roman" w:hAnsi="Times New Roman" w:cs="Times New Roman"/>
                <w:sz w:val="18"/>
                <w:szCs w:val="18"/>
                <w:vertAlign w:val="baseline"/>
                <w:lang w:val="en-US" w:eastAsia="zh-CN"/>
              </w:rPr>
            </w:pPr>
          </w:p>
        </w:tc>
        <w:tc>
          <w:tcPr>
            <w:tcW w:w="975" w:type="dxa"/>
          </w:tcPr>
          <w:p w14:paraId="3FEB3421">
            <w:pPr>
              <w:rPr>
                <w:rFonts w:hint="default" w:ascii="Times New Roman" w:hAnsi="Times New Roman" w:cs="Times New Roman"/>
                <w:sz w:val="18"/>
                <w:szCs w:val="18"/>
                <w:vertAlign w:val="baseline"/>
                <w:lang w:val="en-US" w:eastAsia="zh-CN"/>
              </w:rPr>
            </w:pPr>
          </w:p>
        </w:tc>
        <w:tc>
          <w:tcPr>
            <w:tcW w:w="600" w:type="dxa"/>
          </w:tcPr>
          <w:p w14:paraId="0375659F">
            <w:pPr>
              <w:rPr>
                <w:rFonts w:hint="default" w:ascii="Times New Roman" w:hAnsi="Times New Roman" w:cs="Times New Roman"/>
                <w:sz w:val="18"/>
                <w:szCs w:val="18"/>
                <w:vertAlign w:val="baseline"/>
                <w:lang w:val="en-US" w:eastAsia="zh-CN"/>
              </w:rPr>
            </w:pPr>
          </w:p>
        </w:tc>
        <w:tc>
          <w:tcPr>
            <w:tcW w:w="1380" w:type="dxa"/>
          </w:tcPr>
          <w:p w14:paraId="20812A72">
            <w:pPr>
              <w:rPr>
                <w:rFonts w:hint="default" w:ascii="Times New Roman" w:hAnsi="Times New Roman" w:cs="Times New Roman"/>
                <w:sz w:val="18"/>
                <w:szCs w:val="18"/>
                <w:vertAlign w:val="baseline"/>
                <w:lang w:val="en-US" w:eastAsia="zh-CN"/>
              </w:rPr>
            </w:pPr>
          </w:p>
        </w:tc>
        <w:tc>
          <w:tcPr>
            <w:tcW w:w="885" w:type="dxa"/>
            <w:vMerge w:val="continue"/>
          </w:tcPr>
          <w:p w14:paraId="1827EA69">
            <w:pPr>
              <w:rPr>
                <w:rFonts w:hint="default" w:ascii="Times New Roman" w:hAnsi="Times New Roman" w:cs="Times New Roman"/>
                <w:sz w:val="18"/>
                <w:szCs w:val="18"/>
                <w:vertAlign w:val="baseline"/>
                <w:lang w:val="en-US" w:eastAsia="zh-CN"/>
              </w:rPr>
            </w:pPr>
          </w:p>
        </w:tc>
        <w:tc>
          <w:tcPr>
            <w:tcW w:w="1110" w:type="dxa"/>
          </w:tcPr>
          <w:p w14:paraId="5E5C0664">
            <w:pPr>
              <w:rPr>
                <w:rFonts w:hint="default" w:ascii="Times New Roman" w:hAnsi="Times New Roman" w:cs="Times New Roman"/>
                <w:sz w:val="18"/>
                <w:szCs w:val="18"/>
                <w:vertAlign w:val="baseline"/>
                <w:lang w:val="en-US" w:eastAsia="zh-CN"/>
              </w:rPr>
            </w:pPr>
          </w:p>
        </w:tc>
        <w:tc>
          <w:tcPr>
            <w:tcW w:w="720" w:type="dxa"/>
          </w:tcPr>
          <w:p w14:paraId="32E489BA">
            <w:pPr>
              <w:rPr>
                <w:rFonts w:hint="default" w:ascii="Times New Roman" w:hAnsi="Times New Roman" w:cs="Times New Roman"/>
                <w:sz w:val="18"/>
                <w:szCs w:val="18"/>
                <w:vertAlign w:val="baseline"/>
                <w:lang w:val="en-US" w:eastAsia="zh-CN"/>
              </w:rPr>
            </w:pPr>
          </w:p>
        </w:tc>
        <w:tc>
          <w:tcPr>
            <w:tcW w:w="885" w:type="dxa"/>
          </w:tcPr>
          <w:p w14:paraId="153BD85B">
            <w:pPr>
              <w:rPr>
                <w:rFonts w:hint="default" w:ascii="Times New Roman" w:hAnsi="Times New Roman" w:cs="Times New Roman"/>
                <w:sz w:val="18"/>
                <w:szCs w:val="18"/>
                <w:vertAlign w:val="baseline"/>
                <w:lang w:val="en-US" w:eastAsia="zh-CN"/>
              </w:rPr>
            </w:pPr>
          </w:p>
        </w:tc>
      </w:tr>
      <w:tr w14:paraId="5EC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0271379D">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1185" w:type="dxa"/>
          </w:tcPr>
          <w:p w14:paraId="226F1B6F">
            <w:pPr>
              <w:rPr>
                <w:rFonts w:hint="default" w:ascii="Times New Roman" w:hAnsi="Times New Roman" w:cs="Times New Roman"/>
                <w:sz w:val="18"/>
                <w:szCs w:val="18"/>
                <w:vertAlign w:val="baseline"/>
                <w:lang w:val="en-US" w:eastAsia="zh-CN"/>
              </w:rPr>
            </w:pPr>
          </w:p>
        </w:tc>
        <w:tc>
          <w:tcPr>
            <w:tcW w:w="1410" w:type="dxa"/>
          </w:tcPr>
          <w:p w14:paraId="033091E9">
            <w:pPr>
              <w:rPr>
                <w:rFonts w:hint="default" w:ascii="Times New Roman" w:hAnsi="Times New Roman" w:cs="Times New Roman"/>
                <w:sz w:val="18"/>
                <w:szCs w:val="18"/>
                <w:vertAlign w:val="baseline"/>
                <w:lang w:val="en-US" w:eastAsia="zh-CN"/>
              </w:rPr>
            </w:pPr>
          </w:p>
        </w:tc>
        <w:tc>
          <w:tcPr>
            <w:tcW w:w="975" w:type="dxa"/>
          </w:tcPr>
          <w:p w14:paraId="54153DEF">
            <w:pPr>
              <w:rPr>
                <w:rFonts w:hint="default" w:ascii="Times New Roman" w:hAnsi="Times New Roman" w:cs="Times New Roman"/>
                <w:sz w:val="18"/>
                <w:szCs w:val="18"/>
                <w:vertAlign w:val="baseline"/>
                <w:lang w:val="en-US" w:eastAsia="zh-CN"/>
              </w:rPr>
            </w:pPr>
          </w:p>
        </w:tc>
        <w:tc>
          <w:tcPr>
            <w:tcW w:w="600" w:type="dxa"/>
          </w:tcPr>
          <w:p w14:paraId="15F340E1">
            <w:pPr>
              <w:rPr>
                <w:rFonts w:hint="default" w:ascii="Times New Roman" w:hAnsi="Times New Roman" w:cs="Times New Roman"/>
                <w:sz w:val="18"/>
                <w:szCs w:val="18"/>
                <w:vertAlign w:val="baseline"/>
                <w:lang w:val="en-US" w:eastAsia="zh-CN"/>
              </w:rPr>
            </w:pPr>
          </w:p>
        </w:tc>
        <w:tc>
          <w:tcPr>
            <w:tcW w:w="1380" w:type="dxa"/>
          </w:tcPr>
          <w:p w14:paraId="0E78431A">
            <w:pPr>
              <w:rPr>
                <w:rFonts w:hint="default" w:ascii="Times New Roman" w:hAnsi="Times New Roman" w:cs="Times New Roman"/>
                <w:sz w:val="18"/>
                <w:szCs w:val="18"/>
                <w:vertAlign w:val="baseline"/>
                <w:lang w:val="en-US" w:eastAsia="zh-CN"/>
              </w:rPr>
            </w:pPr>
          </w:p>
        </w:tc>
        <w:tc>
          <w:tcPr>
            <w:tcW w:w="885" w:type="dxa"/>
            <w:vMerge w:val="continue"/>
          </w:tcPr>
          <w:p w14:paraId="33FC6FAD">
            <w:pPr>
              <w:rPr>
                <w:rFonts w:hint="default" w:ascii="Times New Roman" w:hAnsi="Times New Roman" w:cs="Times New Roman"/>
                <w:sz w:val="18"/>
                <w:szCs w:val="18"/>
                <w:vertAlign w:val="baseline"/>
                <w:lang w:val="en-US" w:eastAsia="zh-CN"/>
              </w:rPr>
            </w:pPr>
          </w:p>
        </w:tc>
        <w:tc>
          <w:tcPr>
            <w:tcW w:w="1110" w:type="dxa"/>
          </w:tcPr>
          <w:p w14:paraId="7C02E1AC">
            <w:pPr>
              <w:rPr>
                <w:rFonts w:hint="default" w:ascii="Times New Roman" w:hAnsi="Times New Roman" w:cs="Times New Roman"/>
                <w:sz w:val="18"/>
                <w:szCs w:val="18"/>
                <w:vertAlign w:val="baseline"/>
                <w:lang w:val="en-US" w:eastAsia="zh-CN"/>
              </w:rPr>
            </w:pPr>
          </w:p>
        </w:tc>
        <w:tc>
          <w:tcPr>
            <w:tcW w:w="720" w:type="dxa"/>
          </w:tcPr>
          <w:p w14:paraId="629DB4FA">
            <w:pPr>
              <w:rPr>
                <w:rFonts w:hint="default" w:ascii="Times New Roman" w:hAnsi="Times New Roman" w:cs="Times New Roman"/>
                <w:sz w:val="18"/>
                <w:szCs w:val="18"/>
                <w:vertAlign w:val="baseline"/>
                <w:lang w:val="en-US" w:eastAsia="zh-CN"/>
              </w:rPr>
            </w:pPr>
          </w:p>
        </w:tc>
        <w:tc>
          <w:tcPr>
            <w:tcW w:w="885" w:type="dxa"/>
          </w:tcPr>
          <w:p w14:paraId="01BB77B4">
            <w:pPr>
              <w:rPr>
                <w:rFonts w:hint="default" w:ascii="Times New Roman" w:hAnsi="Times New Roman" w:cs="Times New Roman"/>
                <w:sz w:val="18"/>
                <w:szCs w:val="18"/>
                <w:vertAlign w:val="baseline"/>
                <w:lang w:val="en-US" w:eastAsia="zh-CN"/>
              </w:rPr>
            </w:pPr>
          </w:p>
        </w:tc>
      </w:tr>
      <w:tr w14:paraId="77CC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682B5815">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1185" w:type="dxa"/>
          </w:tcPr>
          <w:p w14:paraId="3532C547">
            <w:pPr>
              <w:rPr>
                <w:rFonts w:hint="default" w:ascii="Times New Roman" w:hAnsi="Times New Roman" w:cs="Times New Roman"/>
                <w:sz w:val="18"/>
                <w:szCs w:val="18"/>
                <w:vertAlign w:val="baseline"/>
                <w:lang w:val="en-US" w:eastAsia="zh-CN"/>
              </w:rPr>
            </w:pPr>
          </w:p>
        </w:tc>
        <w:tc>
          <w:tcPr>
            <w:tcW w:w="1410" w:type="dxa"/>
          </w:tcPr>
          <w:p w14:paraId="5103E4C4">
            <w:pPr>
              <w:rPr>
                <w:rFonts w:hint="default" w:ascii="Times New Roman" w:hAnsi="Times New Roman" w:cs="Times New Roman"/>
                <w:sz w:val="18"/>
                <w:szCs w:val="18"/>
                <w:vertAlign w:val="baseline"/>
                <w:lang w:val="en-US" w:eastAsia="zh-CN"/>
              </w:rPr>
            </w:pPr>
          </w:p>
        </w:tc>
        <w:tc>
          <w:tcPr>
            <w:tcW w:w="975" w:type="dxa"/>
          </w:tcPr>
          <w:p w14:paraId="004E8E63">
            <w:pPr>
              <w:rPr>
                <w:rFonts w:hint="default" w:ascii="Times New Roman" w:hAnsi="Times New Roman" w:cs="Times New Roman"/>
                <w:sz w:val="18"/>
                <w:szCs w:val="18"/>
                <w:vertAlign w:val="baseline"/>
                <w:lang w:val="en-US" w:eastAsia="zh-CN"/>
              </w:rPr>
            </w:pPr>
          </w:p>
        </w:tc>
        <w:tc>
          <w:tcPr>
            <w:tcW w:w="600" w:type="dxa"/>
          </w:tcPr>
          <w:p w14:paraId="0426D48E">
            <w:pPr>
              <w:rPr>
                <w:rFonts w:hint="default" w:ascii="Times New Roman" w:hAnsi="Times New Roman" w:cs="Times New Roman"/>
                <w:sz w:val="18"/>
                <w:szCs w:val="18"/>
                <w:vertAlign w:val="baseline"/>
                <w:lang w:val="en-US" w:eastAsia="zh-CN"/>
              </w:rPr>
            </w:pPr>
          </w:p>
        </w:tc>
        <w:tc>
          <w:tcPr>
            <w:tcW w:w="1380" w:type="dxa"/>
          </w:tcPr>
          <w:p w14:paraId="5BB9B912">
            <w:pPr>
              <w:rPr>
                <w:rFonts w:hint="default" w:ascii="Times New Roman" w:hAnsi="Times New Roman" w:cs="Times New Roman"/>
                <w:sz w:val="18"/>
                <w:szCs w:val="18"/>
                <w:vertAlign w:val="baseline"/>
                <w:lang w:val="en-US" w:eastAsia="zh-CN"/>
              </w:rPr>
            </w:pPr>
          </w:p>
        </w:tc>
        <w:tc>
          <w:tcPr>
            <w:tcW w:w="885" w:type="dxa"/>
            <w:vMerge w:val="continue"/>
          </w:tcPr>
          <w:p w14:paraId="0A0D2B4C">
            <w:pPr>
              <w:rPr>
                <w:rFonts w:hint="default" w:ascii="Times New Roman" w:hAnsi="Times New Roman" w:cs="Times New Roman"/>
                <w:sz w:val="18"/>
                <w:szCs w:val="18"/>
                <w:vertAlign w:val="baseline"/>
                <w:lang w:val="en-US" w:eastAsia="zh-CN"/>
              </w:rPr>
            </w:pPr>
          </w:p>
        </w:tc>
        <w:tc>
          <w:tcPr>
            <w:tcW w:w="1110" w:type="dxa"/>
          </w:tcPr>
          <w:p w14:paraId="1287B720">
            <w:pPr>
              <w:rPr>
                <w:rFonts w:hint="default" w:ascii="Times New Roman" w:hAnsi="Times New Roman" w:cs="Times New Roman"/>
                <w:sz w:val="18"/>
                <w:szCs w:val="18"/>
                <w:vertAlign w:val="baseline"/>
                <w:lang w:val="en-US" w:eastAsia="zh-CN"/>
              </w:rPr>
            </w:pPr>
          </w:p>
        </w:tc>
        <w:tc>
          <w:tcPr>
            <w:tcW w:w="720" w:type="dxa"/>
          </w:tcPr>
          <w:p w14:paraId="6CBA19F0">
            <w:pPr>
              <w:rPr>
                <w:rFonts w:hint="default" w:ascii="Times New Roman" w:hAnsi="Times New Roman" w:cs="Times New Roman"/>
                <w:sz w:val="18"/>
                <w:szCs w:val="18"/>
                <w:vertAlign w:val="baseline"/>
                <w:lang w:val="en-US" w:eastAsia="zh-CN"/>
              </w:rPr>
            </w:pPr>
          </w:p>
        </w:tc>
        <w:tc>
          <w:tcPr>
            <w:tcW w:w="885" w:type="dxa"/>
          </w:tcPr>
          <w:p w14:paraId="650B7365">
            <w:pPr>
              <w:rPr>
                <w:rFonts w:hint="default" w:ascii="Times New Roman" w:hAnsi="Times New Roman" w:cs="Times New Roman"/>
                <w:sz w:val="18"/>
                <w:szCs w:val="18"/>
                <w:vertAlign w:val="baseline"/>
                <w:lang w:val="en-US" w:eastAsia="zh-CN"/>
              </w:rPr>
            </w:pPr>
          </w:p>
        </w:tc>
      </w:tr>
      <w:tr w14:paraId="6C08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5825D3C7">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1185" w:type="dxa"/>
          </w:tcPr>
          <w:p w14:paraId="45415B7E">
            <w:pPr>
              <w:rPr>
                <w:rFonts w:hint="default" w:ascii="Times New Roman" w:hAnsi="Times New Roman" w:cs="Times New Roman"/>
                <w:sz w:val="18"/>
                <w:szCs w:val="18"/>
                <w:vertAlign w:val="baseline"/>
                <w:lang w:val="en-US" w:eastAsia="zh-CN"/>
              </w:rPr>
            </w:pPr>
          </w:p>
        </w:tc>
        <w:tc>
          <w:tcPr>
            <w:tcW w:w="1410" w:type="dxa"/>
          </w:tcPr>
          <w:p w14:paraId="5F19625E">
            <w:pPr>
              <w:rPr>
                <w:rFonts w:hint="default" w:ascii="Times New Roman" w:hAnsi="Times New Roman" w:cs="Times New Roman"/>
                <w:sz w:val="18"/>
                <w:szCs w:val="18"/>
                <w:vertAlign w:val="baseline"/>
                <w:lang w:val="en-US" w:eastAsia="zh-CN"/>
              </w:rPr>
            </w:pPr>
          </w:p>
        </w:tc>
        <w:tc>
          <w:tcPr>
            <w:tcW w:w="975" w:type="dxa"/>
          </w:tcPr>
          <w:p w14:paraId="287AF5F8">
            <w:pPr>
              <w:rPr>
                <w:rFonts w:hint="default" w:ascii="Times New Roman" w:hAnsi="Times New Roman" w:cs="Times New Roman"/>
                <w:sz w:val="18"/>
                <w:szCs w:val="18"/>
                <w:vertAlign w:val="baseline"/>
                <w:lang w:val="en-US" w:eastAsia="zh-CN"/>
              </w:rPr>
            </w:pPr>
          </w:p>
        </w:tc>
        <w:tc>
          <w:tcPr>
            <w:tcW w:w="600" w:type="dxa"/>
          </w:tcPr>
          <w:p w14:paraId="50BB33CB">
            <w:pPr>
              <w:rPr>
                <w:rFonts w:hint="default" w:ascii="Times New Roman" w:hAnsi="Times New Roman" w:cs="Times New Roman"/>
                <w:sz w:val="18"/>
                <w:szCs w:val="18"/>
                <w:vertAlign w:val="baseline"/>
                <w:lang w:val="en-US" w:eastAsia="zh-CN"/>
              </w:rPr>
            </w:pPr>
          </w:p>
        </w:tc>
        <w:tc>
          <w:tcPr>
            <w:tcW w:w="1380" w:type="dxa"/>
          </w:tcPr>
          <w:p w14:paraId="2A90802F">
            <w:pPr>
              <w:rPr>
                <w:rFonts w:hint="default" w:ascii="Times New Roman" w:hAnsi="Times New Roman" w:cs="Times New Roman"/>
                <w:sz w:val="18"/>
                <w:szCs w:val="18"/>
                <w:vertAlign w:val="baseline"/>
                <w:lang w:val="en-US" w:eastAsia="zh-CN"/>
              </w:rPr>
            </w:pPr>
          </w:p>
        </w:tc>
        <w:tc>
          <w:tcPr>
            <w:tcW w:w="885" w:type="dxa"/>
            <w:vMerge w:val="continue"/>
          </w:tcPr>
          <w:p w14:paraId="64BC2416">
            <w:pPr>
              <w:rPr>
                <w:rFonts w:hint="default" w:ascii="Times New Roman" w:hAnsi="Times New Roman" w:cs="Times New Roman"/>
                <w:sz w:val="18"/>
                <w:szCs w:val="18"/>
                <w:vertAlign w:val="baseline"/>
                <w:lang w:val="en-US" w:eastAsia="zh-CN"/>
              </w:rPr>
            </w:pPr>
          </w:p>
        </w:tc>
        <w:tc>
          <w:tcPr>
            <w:tcW w:w="1110" w:type="dxa"/>
          </w:tcPr>
          <w:p w14:paraId="3401ABB0">
            <w:pPr>
              <w:rPr>
                <w:rFonts w:hint="default" w:ascii="Times New Roman" w:hAnsi="Times New Roman" w:cs="Times New Roman"/>
                <w:sz w:val="18"/>
                <w:szCs w:val="18"/>
                <w:vertAlign w:val="baseline"/>
                <w:lang w:val="en-US" w:eastAsia="zh-CN"/>
              </w:rPr>
            </w:pPr>
          </w:p>
        </w:tc>
        <w:tc>
          <w:tcPr>
            <w:tcW w:w="720" w:type="dxa"/>
          </w:tcPr>
          <w:p w14:paraId="659DDA22">
            <w:pPr>
              <w:rPr>
                <w:rFonts w:hint="default" w:ascii="Times New Roman" w:hAnsi="Times New Roman" w:cs="Times New Roman"/>
                <w:sz w:val="18"/>
                <w:szCs w:val="18"/>
                <w:vertAlign w:val="baseline"/>
                <w:lang w:val="en-US" w:eastAsia="zh-CN"/>
              </w:rPr>
            </w:pPr>
          </w:p>
        </w:tc>
        <w:tc>
          <w:tcPr>
            <w:tcW w:w="885" w:type="dxa"/>
          </w:tcPr>
          <w:p w14:paraId="511A482B">
            <w:pPr>
              <w:rPr>
                <w:rFonts w:hint="default" w:ascii="Times New Roman" w:hAnsi="Times New Roman" w:cs="Times New Roman"/>
                <w:sz w:val="18"/>
                <w:szCs w:val="18"/>
                <w:vertAlign w:val="baseline"/>
                <w:lang w:val="en-US" w:eastAsia="zh-CN"/>
              </w:rPr>
            </w:pPr>
          </w:p>
        </w:tc>
      </w:tr>
      <w:tr w14:paraId="3E24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E78B70A">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w:t>
            </w:r>
          </w:p>
        </w:tc>
        <w:tc>
          <w:tcPr>
            <w:tcW w:w="1185" w:type="dxa"/>
          </w:tcPr>
          <w:p w14:paraId="47603DC5">
            <w:pPr>
              <w:rPr>
                <w:rFonts w:hint="default" w:ascii="Times New Roman" w:hAnsi="Times New Roman" w:cs="Times New Roman"/>
                <w:sz w:val="18"/>
                <w:szCs w:val="18"/>
                <w:vertAlign w:val="baseline"/>
                <w:lang w:val="en-US" w:eastAsia="zh-CN"/>
              </w:rPr>
            </w:pPr>
          </w:p>
        </w:tc>
        <w:tc>
          <w:tcPr>
            <w:tcW w:w="1410" w:type="dxa"/>
          </w:tcPr>
          <w:p w14:paraId="02E5250C">
            <w:pPr>
              <w:rPr>
                <w:rFonts w:hint="default" w:ascii="Times New Roman" w:hAnsi="Times New Roman" w:cs="Times New Roman"/>
                <w:sz w:val="18"/>
                <w:szCs w:val="18"/>
                <w:vertAlign w:val="baseline"/>
                <w:lang w:val="en-US" w:eastAsia="zh-CN"/>
              </w:rPr>
            </w:pPr>
          </w:p>
        </w:tc>
        <w:tc>
          <w:tcPr>
            <w:tcW w:w="975" w:type="dxa"/>
          </w:tcPr>
          <w:p w14:paraId="2103FB56">
            <w:pPr>
              <w:rPr>
                <w:rFonts w:hint="default" w:ascii="Times New Roman" w:hAnsi="Times New Roman" w:cs="Times New Roman"/>
                <w:sz w:val="18"/>
                <w:szCs w:val="18"/>
                <w:vertAlign w:val="baseline"/>
                <w:lang w:val="en-US" w:eastAsia="zh-CN"/>
              </w:rPr>
            </w:pPr>
          </w:p>
        </w:tc>
        <w:tc>
          <w:tcPr>
            <w:tcW w:w="600" w:type="dxa"/>
          </w:tcPr>
          <w:p w14:paraId="6B1CF692">
            <w:pPr>
              <w:rPr>
                <w:rFonts w:hint="default" w:ascii="Times New Roman" w:hAnsi="Times New Roman" w:cs="Times New Roman"/>
                <w:sz w:val="18"/>
                <w:szCs w:val="18"/>
                <w:vertAlign w:val="baseline"/>
                <w:lang w:val="en-US" w:eastAsia="zh-CN"/>
              </w:rPr>
            </w:pPr>
          </w:p>
        </w:tc>
        <w:tc>
          <w:tcPr>
            <w:tcW w:w="1380" w:type="dxa"/>
          </w:tcPr>
          <w:p w14:paraId="74DEE7FA">
            <w:pPr>
              <w:rPr>
                <w:rFonts w:hint="default" w:ascii="Times New Roman" w:hAnsi="Times New Roman" w:cs="Times New Roman"/>
                <w:sz w:val="18"/>
                <w:szCs w:val="18"/>
                <w:vertAlign w:val="baseline"/>
                <w:lang w:val="en-US" w:eastAsia="zh-CN"/>
              </w:rPr>
            </w:pPr>
          </w:p>
        </w:tc>
        <w:tc>
          <w:tcPr>
            <w:tcW w:w="885" w:type="dxa"/>
            <w:vMerge w:val="continue"/>
          </w:tcPr>
          <w:p w14:paraId="17BAA019">
            <w:pPr>
              <w:rPr>
                <w:rFonts w:hint="default" w:ascii="Times New Roman" w:hAnsi="Times New Roman" w:cs="Times New Roman"/>
                <w:sz w:val="18"/>
                <w:szCs w:val="18"/>
                <w:vertAlign w:val="baseline"/>
                <w:lang w:val="en-US" w:eastAsia="zh-CN"/>
              </w:rPr>
            </w:pPr>
          </w:p>
        </w:tc>
        <w:tc>
          <w:tcPr>
            <w:tcW w:w="1110" w:type="dxa"/>
          </w:tcPr>
          <w:p w14:paraId="2601E8D2">
            <w:pPr>
              <w:rPr>
                <w:rFonts w:hint="default" w:ascii="Times New Roman" w:hAnsi="Times New Roman" w:cs="Times New Roman"/>
                <w:sz w:val="18"/>
                <w:szCs w:val="18"/>
                <w:vertAlign w:val="baseline"/>
                <w:lang w:val="en-US" w:eastAsia="zh-CN"/>
              </w:rPr>
            </w:pPr>
          </w:p>
        </w:tc>
        <w:tc>
          <w:tcPr>
            <w:tcW w:w="720" w:type="dxa"/>
          </w:tcPr>
          <w:p w14:paraId="20F5CCD0">
            <w:pPr>
              <w:rPr>
                <w:rFonts w:hint="default" w:ascii="Times New Roman" w:hAnsi="Times New Roman" w:cs="Times New Roman"/>
                <w:sz w:val="18"/>
                <w:szCs w:val="18"/>
                <w:vertAlign w:val="baseline"/>
                <w:lang w:val="en-US" w:eastAsia="zh-CN"/>
              </w:rPr>
            </w:pPr>
          </w:p>
        </w:tc>
        <w:tc>
          <w:tcPr>
            <w:tcW w:w="885" w:type="dxa"/>
          </w:tcPr>
          <w:p w14:paraId="5BAE3126">
            <w:pPr>
              <w:rPr>
                <w:rFonts w:hint="default" w:ascii="Times New Roman" w:hAnsi="Times New Roman" w:cs="Times New Roman"/>
                <w:sz w:val="18"/>
                <w:szCs w:val="18"/>
                <w:vertAlign w:val="baseline"/>
                <w:lang w:val="en-US" w:eastAsia="zh-CN"/>
              </w:rPr>
            </w:pPr>
          </w:p>
        </w:tc>
      </w:tr>
      <w:tr w14:paraId="395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6A2F37B7">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w:t>
            </w:r>
          </w:p>
        </w:tc>
        <w:tc>
          <w:tcPr>
            <w:tcW w:w="1185" w:type="dxa"/>
          </w:tcPr>
          <w:p w14:paraId="320B7E25">
            <w:pPr>
              <w:rPr>
                <w:rFonts w:hint="default" w:ascii="Times New Roman" w:hAnsi="Times New Roman" w:cs="Times New Roman"/>
                <w:sz w:val="18"/>
                <w:szCs w:val="18"/>
                <w:vertAlign w:val="baseline"/>
                <w:lang w:val="en-US" w:eastAsia="zh-CN"/>
              </w:rPr>
            </w:pPr>
          </w:p>
        </w:tc>
        <w:tc>
          <w:tcPr>
            <w:tcW w:w="1410" w:type="dxa"/>
          </w:tcPr>
          <w:p w14:paraId="265B677A">
            <w:pPr>
              <w:rPr>
                <w:rFonts w:hint="default" w:ascii="Times New Roman" w:hAnsi="Times New Roman" w:cs="Times New Roman"/>
                <w:sz w:val="18"/>
                <w:szCs w:val="18"/>
                <w:vertAlign w:val="baseline"/>
                <w:lang w:val="en-US" w:eastAsia="zh-CN"/>
              </w:rPr>
            </w:pPr>
          </w:p>
        </w:tc>
        <w:tc>
          <w:tcPr>
            <w:tcW w:w="975" w:type="dxa"/>
          </w:tcPr>
          <w:p w14:paraId="0BD23801">
            <w:pPr>
              <w:rPr>
                <w:rFonts w:hint="default" w:ascii="Times New Roman" w:hAnsi="Times New Roman" w:cs="Times New Roman"/>
                <w:sz w:val="18"/>
                <w:szCs w:val="18"/>
                <w:vertAlign w:val="baseline"/>
                <w:lang w:val="en-US" w:eastAsia="zh-CN"/>
              </w:rPr>
            </w:pPr>
          </w:p>
        </w:tc>
        <w:tc>
          <w:tcPr>
            <w:tcW w:w="600" w:type="dxa"/>
          </w:tcPr>
          <w:p w14:paraId="29A4A5BC">
            <w:pPr>
              <w:rPr>
                <w:rFonts w:hint="default" w:ascii="Times New Roman" w:hAnsi="Times New Roman" w:cs="Times New Roman"/>
                <w:sz w:val="18"/>
                <w:szCs w:val="18"/>
                <w:vertAlign w:val="baseline"/>
                <w:lang w:val="en-US" w:eastAsia="zh-CN"/>
              </w:rPr>
            </w:pPr>
          </w:p>
        </w:tc>
        <w:tc>
          <w:tcPr>
            <w:tcW w:w="1380" w:type="dxa"/>
          </w:tcPr>
          <w:p w14:paraId="4BD0756C">
            <w:pPr>
              <w:rPr>
                <w:rFonts w:hint="default" w:ascii="Times New Roman" w:hAnsi="Times New Roman" w:cs="Times New Roman"/>
                <w:sz w:val="18"/>
                <w:szCs w:val="18"/>
                <w:vertAlign w:val="baseline"/>
                <w:lang w:val="en-US" w:eastAsia="zh-CN"/>
              </w:rPr>
            </w:pPr>
          </w:p>
        </w:tc>
        <w:tc>
          <w:tcPr>
            <w:tcW w:w="885" w:type="dxa"/>
            <w:vMerge w:val="continue"/>
          </w:tcPr>
          <w:p w14:paraId="0A0AB56F">
            <w:pPr>
              <w:rPr>
                <w:rFonts w:hint="default" w:ascii="Times New Roman" w:hAnsi="Times New Roman" w:cs="Times New Roman"/>
                <w:sz w:val="18"/>
                <w:szCs w:val="18"/>
                <w:vertAlign w:val="baseline"/>
                <w:lang w:val="en-US" w:eastAsia="zh-CN"/>
              </w:rPr>
            </w:pPr>
          </w:p>
        </w:tc>
        <w:tc>
          <w:tcPr>
            <w:tcW w:w="1110" w:type="dxa"/>
          </w:tcPr>
          <w:p w14:paraId="7EED2E21">
            <w:pPr>
              <w:rPr>
                <w:rFonts w:hint="default" w:ascii="Times New Roman" w:hAnsi="Times New Roman" w:cs="Times New Roman"/>
                <w:sz w:val="18"/>
                <w:szCs w:val="18"/>
                <w:vertAlign w:val="baseline"/>
                <w:lang w:val="en-US" w:eastAsia="zh-CN"/>
              </w:rPr>
            </w:pPr>
          </w:p>
        </w:tc>
        <w:tc>
          <w:tcPr>
            <w:tcW w:w="720" w:type="dxa"/>
          </w:tcPr>
          <w:p w14:paraId="1B693F0E">
            <w:pPr>
              <w:rPr>
                <w:rFonts w:hint="default" w:ascii="Times New Roman" w:hAnsi="Times New Roman" w:cs="Times New Roman"/>
                <w:sz w:val="18"/>
                <w:szCs w:val="18"/>
                <w:vertAlign w:val="baseline"/>
                <w:lang w:val="en-US" w:eastAsia="zh-CN"/>
              </w:rPr>
            </w:pPr>
          </w:p>
        </w:tc>
        <w:tc>
          <w:tcPr>
            <w:tcW w:w="885" w:type="dxa"/>
          </w:tcPr>
          <w:p w14:paraId="611C1B6F">
            <w:pPr>
              <w:rPr>
                <w:rFonts w:hint="default" w:ascii="Times New Roman" w:hAnsi="Times New Roman" w:cs="Times New Roman"/>
                <w:sz w:val="18"/>
                <w:szCs w:val="18"/>
                <w:vertAlign w:val="baseline"/>
                <w:lang w:val="en-US" w:eastAsia="zh-CN"/>
              </w:rPr>
            </w:pPr>
          </w:p>
        </w:tc>
      </w:tr>
      <w:tr w14:paraId="137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5331AE5">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w:t>
            </w:r>
          </w:p>
        </w:tc>
        <w:tc>
          <w:tcPr>
            <w:tcW w:w="1185" w:type="dxa"/>
          </w:tcPr>
          <w:p w14:paraId="33AA5BD0">
            <w:pPr>
              <w:rPr>
                <w:rFonts w:hint="default" w:ascii="Times New Roman" w:hAnsi="Times New Roman" w:cs="Times New Roman"/>
                <w:sz w:val="18"/>
                <w:szCs w:val="18"/>
                <w:vertAlign w:val="baseline"/>
                <w:lang w:val="en-US" w:eastAsia="zh-CN"/>
              </w:rPr>
            </w:pPr>
          </w:p>
        </w:tc>
        <w:tc>
          <w:tcPr>
            <w:tcW w:w="1410" w:type="dxa"/>
          </w:tcPr>
          <w:p w14:paraId="5CBB2E98">
            <w:pPr>
              <w:rPr>
                <w:rFonts w:hint="default" w:ascii="Times New Roman" w:hAnsi="Times New Roman" w:cs="Times New Roman"/>
                <w:sz w:val="18"/>
                <w:szCs w:val="18"/>
                <w:vertAlign w:val="baseline"/>
                <w:lang w:val="en-US" w:eastAsia="zh-CN"/>
              </w:rPr>
            </w:pPr>
          </w:p>
        </w:tc>
        <w:tc>
          <w:tcPr>
            <w:tcW w:w="975" w:type="dxa"/>
          </w:tcPr>
          <w:p w14:paraId="73219AA1">
            <w:pPr>
              <w:rPr>
                <w:rFonts w:hint="default" w:ascii="Times New Roman" w:hAnsi="Times New Roman" w:cs="Times New Roman"/>
                <w:sz w:val="18"/>
                <w:szCs w:val="18"/>
                <w:vertAlign w:val="baseline"/>
                <w:lang w:val="en-US" w:eastAsia="zh-CN"/>
              </w:rPr>
            </w:pPr>
          </w:p>
        </w:tc>
        <w:tc>
          <w:tcPr>
            <w:tcW w:w="600" w:type="dxa"/>
          </w:tcPr>
          <w:p w14:paraId="7F3DBAA8">
            <w:pPr>
              <w:rPr>
                <w:rFonts w:hint="default" w:ascii="Times New Roman" w:hAnsi="Times New Roman" w:cs="Times New Roman"/>
                <w:sz w:val="18"/>
                <w:szCs w:val="18"/>
                <w:vertAlign w:val="baseline"/>
                <w:lang w:val="en-US" w:eastAsia="zh-CN"/>
              </w:rPr>
            </w:pPr>
          </w:p>
        </w:tc>
        <w:tc>
          <w:tcPr>
            <w:tcW w:w="1380" w:type="dxa"/>
          </w:tcPr>
          <w:p w14:paraId="13F2367F">
            <w:pPr>
              <w:rPr>
                <w:rFonts w:hint="default" w:ascii="Times New Roman" w:hAnsi="Times New Roman" w:cs="Times New Roman"/>
                <w:sz w:val="18"/>
                <w:szCs w:val="18"/>
                <w:vertAlign w:val="baseline"/>
                <w:lang w:val="en-US" w:eastAsia="zh-CN"/>
              </w:rPr>
            </w:pPr>
          </w:p>
        </w:tc>
        <w:tc>
          <w:tcPr>
            <w:tcW w:w="885" w:type="dxa"/>
            <w:vMerge w:val="continue"/>
          </w:tcPr>
          <w:p w14:paraId="25CB52F0">
            <w:pPr>
              <w:rPr>
                <w:rFonts w:hint="default" w:ascii="Times New Roman" w:hAnsi="Times New Roman" w:cs="Times New Roman"/>
                <w:sz w:val="18"/>
                <w:szCs w:val="18"/>
                <w:vertAlign w:val="baseline"/>
                <w:lang w:val="en-US" w:eastAsia="zh-CN"/>
              </w:rPr>
            </w:pPr>
          </w:p>
        </w:tc>
        <w:tc>
          <w:tcPr>
            <w:tcW w:w="1110" w:type="dxa"/>
          </w:tcPr>
          <w:p w14:paraId="7620E3F5">
            <w:pPr>
              <w:rPr>
                <w:rFonts w:hint="default" w:ascii="Times New Roman" w:hAnsi="Times New Roman" w:cs="Times New Roman"/>
                <w:sz w:val="18"/>
                <w:szCs w:val="18"/>
                <w:vertAlign w:val="baseline"/>
                <w:lang w:val="en-US" w:eastAsia="zh-CN"/>
              </w:rPr>
            </w:pPr>
          </w:p>
        </w:tc>
        <w:tc>
          <w:tcPr>
            <w:tcW w:w="720" w:type="dxa"/>
          </w:tcPr>
          <w:p w14:paraId="44E1D5D4">
            <w:pPr>
              <w:rPr>
                <w:rFonts w:hint="default" w:ascii="Times New Roman" w:hAnsi="Times New Roman" w:cs="Times New Roman"/>
                <w:sz w:val="18"/>
                <w:szCs w:val="18"/>
                <w:vertAlign w:val="baseline"/>
                <w:lang w:val="en-US" w:eastAsia="zh-CN"/>
              </w:rPr>
            </w:pPr>
          </w:p>
        </w:tc>
        <w:tc>
          <w:tcPr>
            <w:tcW w:w="885" w:type="dxa"/>
          </w:tcPr>
          <w:p w14:paraId="071D7595">
            <w:pPr>
              <w:rPr>
                <w:rFonts w:hint="default" w:ascii="Times New Roman" w:hAnsi="Times New Roman" w:cs="Times New Roman"/>
                <w:sz w:val="18"/>
                <w:szCs w:val="18"/>
                <w:vertAlign w:val="baseline"/>
                <w:lang w:val="en-US" w:eastAsia="zh-CN"/>
              </w:rPr>
            </w:pPr>
          </w:p>
        </w:tc>
      </w:tr>
      <w:tr w14:paraId="2746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8D19D4B">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11</w:t>
            </w:r>
          </w:p>
        </w:tc>
        <w:tc>
          <w:tcPr>
            <w:tcW w:w="1185" w:type="dxa"/>
          </w:tcPr>
          <w:p w14:paraId="30D03857">
            <w:pPr>
              <w:rPr>
                <w:rFonts w:hint="default" w:ascii="Times New Roman" w:hAnsi="Times New Roman" w:cs="Times New Roman"/>
                <w:sz w:val="18"/>
                <w:szCs w:val="18"/>
                <w:vertAlign w:val="baseline"/>
                <w:lang w:val="en-US" w:eastAsia="zh-CN"/>
              </w:rPr>
            </w:pPr>
          </w:p>
        </w:tc>
        <w:tc>
          <w:tcPr>
            <w:tcW w:w="1410" w:type="dxa"/>
          </w:tcPr>
          <w:p w14:paraId="4CAC1B7F">
            <w:pPr>
              <w:rPr>
                <w:rFonts w:hint="default" w:ascii="Times New Roman" w:hAnsi="Times New Roman" w:cs="Times New Roman"/>
                <w:sz w:val="18"/>
                <w:szCs w:val="18"/>
                <w:vertAlign w:val="baseline"/>
                <w:lang w:val="en-US" w:eastAsia="zh-CN"/>
              </w:rPr>
            </w:pPr>
          </w:p>
        </w:tc>
        <w:tc>
          <w:tcPr>
            <w:tcW w:w="975" w:type="dxa"/>
          </w:tcPr>
          <w:p w14:paraId="6690AEA4">
            <w:pPr>
              <w:rPr>
                <w:rFonts w:hint="default" w:ascii="Times New Roman" w:hAnsi="Times New Roman" w:cs="Times New Roman"/>
                <w:sz w:val="18"/>
                <w:szCs w:val="18"/>
                <w:vertAlign w:val="baseline"/>
                <w:lang w:val="en-US" w:eastAsia="zh-CN"/>
              </w:rPr>
            </w:pPr>
          </w:p>
        </w:tc>
        <w:tc>
          <w:tcPr>
            <w:tcW w:w="600" w:type="dxa"/>
          </w:tcPr>
          <w:p w14:paraId="303E439D">
            <w:pPr>
              <w:rPr>
                <w:rFonts w:hint="default" w:ascii="Times New Roman" w:hAnsi="Times New Roman" w:cs="Times New Roman"/>
                <w:sz w:val="18"/>
                <w:szCs w:val="18"/>
                <w:vertAlign w:val="baseline"/>
                <w:lang w:val="en-US" w:eastAsia="zh-CN"/>
              </w:rPr>
            </w:pPr>
          </w:p>
        </w:tc>
        <w:tc>
          <w:tcPr>
            <w:tcW w:w="1380" w:type="dxa"/>
          </w:tcPr>
          <w:p w14:paraId="6C89D5BC">
            <w:pPr>
              <w:rPr>
                <w:rFonts w:hint="default" w:ascii="Times New Roman" w:hAnsi="Times New Roman" w:cs="Times New Roman"/>
                <w:sz w:val="18"/>
                <w:szCs w:val="18"/>
                <w:vertAlign w:val="baseline"/>
                <w:lang w:val="en-US" w:eastAsia="zh-CN"/>
              </w:rPr>
            </w:pPr>
          </w:p>
        </w:tc>
        <w:tc>
          <w:tcPr>
            <w:tcW w:w="885" w:type="dxa"/>
            <w:vMerge w:val="continue"/>
          </w:tcPr>
          <w:p w14:paraId="2518CE97">
            <w:pPr>
              <w:rPr>
                <w:rFonts w:hint="default" w:ascii="Times New Roman" w:hAnsi="Times New Roman" w:cs="Times New Roman"/>
                <w:sz w:val="18"/>
                <w:szCs w:val="18"/>
                <w:vertAlign w:val="baseline"/>
                <w:lang w:val="en-US" w:eastAsia="zh-CN"/>
              </w:rPr>
            </w:pPr>
          </w:p>
        </w:tc>
        <w:tc>
          <w:tcPr>
            <w:tcW w:w="1110" w:type="dxa"/>
          </w:tcPr>
          <w:p w14:paraId="52221126">
            <w:pPr>
              <w:rPr>
                <w:rFonts w:hint="default" w:ascii="Times New Roman" w:hAnsi="Times New Roman" w:cs="Times New Roman"/>
                <w:sz w:val="18"/>
                <w:szCs w:val="18"/>
                <w:vertAlign w:val="baseline"/>
                <w:lang w:val="en-US" w:eastAsia="zh-CN"/>
              </w:rPr>
            </w:pPr>
          </w:p>
        </w:tc>
        <w:tc>
          <w:tcPr>
            <w:tcW w:w="720" w:type="dxa"/>
          </w:tcPr>
          <w:p w14:paraId="7D3A4577">
            <w:pPr>
              <w:rPr>
                <w:rFonts w:hint="default" w:ascii="Times New Roman" w:hAnsi="Times New Roman" w:cs="Times New Roman"/>
                <w:sz w:val="18"/>
                <w:szCs w:val="18"/>
                <w:vertAlign w:val="baseline"/>
                <w:lang w:val="en-US" w:eastAsia="zh-CN"/>
              </w:rPr>
            </w:pPr>
          </w:p>
        </w:tc>
        <w:tc>
          <w:tcPr>
            <w:tcW w:w="885" w:type="dxa"/>
          </w:tcPr>
          <w:p w14:paraId="65C73431">
            <w:pPr>
              <w:rPr>
                <w:rFonts w:hint="default" w:ascii="Times New Roman" w:hAnsi="Times New Roman" w:cs="Times New Roman"/>
                <w:sz w:val="18"/>
                <w:szCs w:val="18"/>
                <w:vertAlign w:val="baseline"/>
                <w:lang w:val="en-US" w:eastAsia="zh-CN"/>
              </w:rPr>
            </w:pPr>
          </w:p>
        </w:tc>
      </w:tr>
      <w:tr w14:paraId="5372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2C672639">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12</w:t>
            </w:r>
          </w:p>
        </w:tc>
        <w:tc>
          <w:tcPr>
            <w:tcW w:w="1185" w:type="dxa"/>
          </w:tcPr>
          <w:p w14:paraId="7D25B0EB">
            <w:pPr>
              <w:rPr>
                <w:rFonts w:hint="default" w:ascii="Times New Roman" w:hAnsi="Times New Roman" w:cs="Times New Roman"/>
                <w:sz w:val="18"/>
                <w:szCs w:val="18"/>
                <w:vertAlign w:val="baseline"/>
                <w:lang w:val="en-US" w:eastAsia="zh-CN"/>
              </w:rPr>
            </w:pPr>
          </w:p>
        </w:tc>
        <w:tc>
          <w:tcPr>
            <w:tcW w:w="1410" w:type="dxa"/>
          </w:tcPr>
          <w:p w14:paraId="6DD945ED">
            <w:pPr>
              <w:rPr>
                <w:rFonts w:hint="default" w:ascii="Times New Roman" w:hAnsi="Times New Roman" w:cs="Times New Roman"/>
                <w:sz w:val="18"/>
                <w:szCs w:val="18"/>
                <w:vertAlign w:val="baseline"/>
                <w:lang w:val="en-US" w:eastAsia="zh-CN"/>
              </w:rPr>
            </w:pPr>
          </w:p>
        </w:tc>
        <w:tc>
          <w:tcPr>
            <w:tcW w:w="975" w:type="dxa"/>
          </w:tcPr>
          <w:p w14:paraId="12B83782">
            <w:pPr>
              <w:rPr>
                <w:rFonts w:hint="default" w:ascii="Times New Roman" w:hAnsi="Times New Roman" w:cs="Times New Roman"/>
                <w:sz w:val="18"/>
                <w:szCs w:val="18"/>
                <w:vertAlign w:val="baseline"/>
                <w:lang w:val="en-US" w:eastAsia="zh-CN"/>
              </w:rPr>
            </w:pPr>
          </w:p>
        </w:tc>
        <w:tc>
          <w:tcPr>
            <w:tcW w:w="600" w:type="dxa"/>
          </w:tcPr>
          <w:p w14:paraId="37D9AD36">
            <w:pPr>
              <w:rPr>
                <w:rFonts w:hint="default" w:ascii="Times New Roman" w:hAnsi="Times New Roman" w:cs="Times New Roman"/>
                <w:sz w:val="18"/>
                <w:szCs w:val="18"/>
                <w:vertAlign w:val="baseline"/>
                <w:lang w:val="en-US" w:eastAsia="zh-CN"/>
              </w:rPr>
            </w:pPr>
          </w:p>
        </w:tc>
        <w:tc>
          <w:tcPr>
            <w:tcW w:w="1380" w:type="dxa"/>
          </w:tcPr>
          <w:p w14:paraId="49A3A19D">
            <w:pPr>
              <w:rPr>
                <w:rFonts w:hint="default" w:ascii="Times New Roman" w:hAnsi="Times New Roman" w:cs="Times New Roman"/>
                <w:sz w:val="18"/>
                <w:szCs w:val="18"/>
                <w:vertAlign w:val="baseline"/>
                <w:lang w:val="en-US" w:eastAsia="zh-CN"/>
              </w:rPr>
            </w:pPr>
          </w:p>
        </w:tc>
        <w:tc>
          <w:tcPr>
            <w:tcW w:w="885" w:type="dxa"/>
            <w:vMerge w:val="continue"/>
          </w:tcPr>
          <w:p w14:paraId="2F207027">
            <w:pPr>
              <w:rPr>
                <w:rFonts w:hint="default" w:ascii="Times New Roman" w:hAnsi="Times New Roman" w:cs="Times New Roman"/>
                <w:sz w:val="18"/>
                <w:szCs w:val="18"/>
                <w:vertAlign w:val="baseline"/>
                <w:lang w:val="en-US" w:eastAsia="zh-CN"/>
              </w:rPr>
            </w:pPr>
          </w:p>
        </w:tc>
        <w:tc>
          <w:tcPr>
            <w:tcW w:w="1110" w:type="dxa"/>
          </w:tcPr>
          <w:p w14:paraId="624DC9F0">
            <w:pPr>
              <w:rPr>
                <w:rFonts w:hint="default" w:ascii="Times New Roman" w:hAnsi="Times New Roman" w:cs="Times New Roman"/>
                <w:sz w:val="18"/>
                <w:szCs w:val="18"/>
                <w:vertAlign w:val="baseline"/>
                <w:lang w:val="en-US" w:eastAsia="zh-CN"/>
              </w:rPr>
            </w:pPr>
          </w:p>
        </w:tc>
        <w:tc>
          <w:tcPr>
            <w:tcW w:w="720" w:type="dxa"/>
          </w:tcPr>
          <w:p w14:paraId="19767B54">
            <w:pPr>
              <w:rPr>
                <w:rFonts w:hint="default" w:ascii="Times New Roman" w:hAnsi="Times New Roman" w:cs="Times New Roman"/>
                <w:sz w:val="18"/>
                <w:szCs w:val="18"/>
                <w:vertAlign w:val="baseline"/>
                <w:lang w:val="en-US" w:eastAsia="zh-CN"/>
              </w:rPr>
            </w:pPr>
          </w:p>
        </w:tc>
        <w:tc>
          <w:tcPr>
            <w:tcW w:w="885" w:type="dxa"/>
          </w:tcPr>
          <w:p w14:paraId="0AE71B24">
            <w:pPr>
              <w:rPr>
                <w:rFonts w:hint="default" w:ascii="Times New Roman" w:hAnsi="Times New Roman" w:cs="Times New Roman"/>
                <w:sz w:val="18"/>
                <w:szCs w:val="18"/>
                <w:vertAlign w:val="baseline"/>
                <w:lang w:val="en-US" w:eastAsia="zh-CN"/>
              </w:rPr>
            </w:pPr>
          </w:p>
        </w:tc>
      </w:tr>
      <w:tr w14:paraId="2E92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14:paraId="72A47BC0">
            <w:pPr>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13</w:t>
            </w:r>
          </w:p>
        </w:tc>
        <w:tc>
          <w:tcPr>
            <w:tcW w:w="1185" w:type="dxa"/>
          </w:tcPr>
          <w:p w14:paraId="3D9E52B0">
            <w:pPr>
              <w:rPr>
                <w:rFonts w:hint="default" w:ascii="Times New Roman" w:hAnsi="Times New Roman" w:cs="Times New Roman"/>
                <w:sz w:val="18"/>
                <w:szCs w:val="18"/>
                <w:vertAlign w:val="baseline"/>
                <w:lang w:val="en-US" w:eastAsia="zh-CN"/>
              </w:rPr>
            </w:pPr>
          </w:p>
        </w:tc>
        <w:tc>
          <w:tcPr>
            <w:tcW w:w="1410" w:type="dxa"/>
          </w:tcPr>
          <w:p w14:paraId="29484EE6">
            <w:pPr>
              <w:rPr>
                <w:rFonts w:hint="default" w:ascii="Times New Roman" w:hAnsi="Times New Roman" w:cs="Times New Roman"/>
                <w:sz w:val="18"/>
                <w:szCs w:val="18"/>
                <w:vertAlign w:val="baseline"/>
                <w:lang w:val="en-US" w:eastAsia="zh-CN"/>
              </w:rPr>
            </w:pPr>
          </w:p>
        </w:tc>
        <w:tc>
          <w:tcPr>
            <w:tcW w:w="975" w:type="dxa"/>
          </w:tcPr>
          <w:p w14:paraId="6734BDFF">
            <w:pPr>
              <w:rPr>
                <w:rFonts w:hint="default" w:ascii="Times New Roman" w:hAnsi="Times New Roman" w:cs="Times New Roman"/>
                <w:sz w:val="18"/>
                <w:szCs w:val="18"/>
                <w:vertAlign w:val="baseline"/>
                <w:lang w:val="en-US" w:eastAsia="zh-CN"/>
              </w:rPr>
            </w:pPr>
          </w:p>
        </w:tc>
        <w:tc>
          <w:tcPr>
            <w:tcW w:w="600" w:type="dxa"/>
          </w:tcPr>
          <w:p w14:paraId="685455C4">
            <w:pPr>
              <w:rPr>
                <w:rFonts w:hint="default" w:ascii="Times New Roman" w:hAnsi="Times New Roman" w:cs="Times New Roman"/>
                <w:sz w:val="18"/>
                <w:szCs w:val="18"/>
                <w:vertAlign w:val="baseline"/>
                <w:lang w:val="en-US" w:eastAsia="zh-CN"/>
              </w:rPr>
            </w:pPr>
          </w:p>
        </w:tc>
        <w:tc>
          <w:tcPr>
            <w:tcW w:w="1380" w:type="dxa"/>
          </w:tcPr>
          <w:p w14:paraId="39F2244E">
            <w:pPr>
              <w:rPr>
                <w:rFonts w:hint="default" w:ascii="Times New Roman" w:hAnsi="Times New Roman" w:cs="Times New Roman"/>
                <w:sz w:val="18"/>
                <w:szCs w:val="18"/>
                <w:vertAlign w:val="baseline"/>
                <w:lang w:val="en-US" w:eastAsia="zh-CN"/>
              </w:rPr>
            </w:pPr>
          </w:p>
        </w:tc>
        <w:tc>
          <w:tcPr>
            <w:tcW w:w="885" w:type="dxa"/>
            <w:vMerge w:val="continue"/>
          </w:tcPr>
          <w:p w14:paraId="1A816B6A">
            <w:pPr>
              <w:rPr>
                <w:rFonts w:hint="default" w:ascii="Times New Roman" w:hAnsi="Times New Roman" w:cs="Times New Roman"/>
                <w:sz w:val="18"/>
                <w:szCs w:val="18"/>
                <w:vertAlign w:val="baseline"/>
                <w:lang w:val="en-US" w:eastAsia="zh-CN"/>
              </w:rPr>
            </w:pPr>
          </w:p>
        </w:tc>
        <w:tc>
          <w:tcPr>
            <w:tcW w:w="1110" w:type="dxa"/>
          </w:tcPr>
          <w:p w14:paraId="2FF9E6B7">
            <w:pPr>
              <w:rPr>
                <w:rFonts w:hint="default" w:ascii="Times New Roman" w:hAnsi="Times New Roman" w:cs="Times New Roman"/>
                <w:sz w:val="18"/>
                <w:szCs w:val="18"/>
                <w:vertAlign w:val="baseline"/>
                <w:lang w:val="en-US" w:eastAsia="zh-CN"/>
              </w:rPr>
            </w:pPr>
          </w:p>
        </w:tc>
        <w:tc>
          <w:tcPr>
            <w:tcW w:w="720" w:type="dxa"/>
          </w:tcPr>
          <w:p w14:paraId="6110A972">
            <w:pPr>
              <w:rPr>
                <w:rFonts w:hint="default" w:ascii="Times New Roman" w:hAnsi="Times New Roman" w:cs="Times New Roman"/>
                <w:sz w:val="18"/>
                <w:szCs w:val="18"/>
                <w:vertAlign w:val="baseline"/>
                <w:lang w:val="en-US" w:eastAsia="zh-CN"/>
              </w:rPr>
            </w:pPr>
          </w:p>
        </w:tc>
        <w:tc>
          <w:tcPr>
            <w:tcW w:w="885" w:type="dxa"/>
          </w:tcPr>
          <w:p w14:paraId="4BC07270">
            <w:pPr>
              <w:rPr>
                <w:rFonts w:hint="default" w:ascii="Times New Roman" w:hAnsi="Times New Roman" w:cs="Times New Roman"/>
                <w:sz w:val="18"/>
                <w:szCs w:val="18"/>
                <w:vertAlign w:val="baseline"/>
                <w:lang w:val="en-US" w:eastAsia="zh-CN"/>
              </w:rPr>
            </w:pPr>
          </w:p>
        </w:tc>
      </w:tr>
    </w:tbl>
    <w:p w14:paraId="3E070B91">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备注：1. 关于表格格式，供应商可根据实际情况，自行选择横向或竖向展示。</w:t>
      </w:r>
    </w:p>
    <w:p w14:paraId="7F96A0FE">
      <w:pPr>
        <w:numPr>
          <w:ilvl w:val="0"/>
          <w:numId w:val="5"/>
        </w:numPr>
        <w:ind w:firstLine="632" w:firstLineChars="300"/>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 供应商可依据供货清单内容，灵活添加行数以完善信息。</w:t>
      </w:r>
    </w:p>
    <w:p w14:paraId="56B92033">
      <w:pPr>
        <w:numPr>
          <w:ilvl w:val="0"/>
          <w:numId w:val="5"/>
        </w:numPr>
        <w:ind w:firstLine="632" w:firstLineChars="300"/>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该表预算单位与供货单位与第五章采购需求</w:t>
      </w:r>
      <w:r>
        <w:rPr>
          <w:rFonts w:hint="default" w:ascii="Times New Roman" w:hAnsi="Times New Roman" w:cs="Times New Roman"/>
          <w:b/>
          <w:bCs/>
          <w:sz w:val="21"/>
          <w:szCs w:val="21"/>
          <w:vertAlign w:val="baseline"/>
          <w:lang w:val="en-US" w:eastAsia="zh-CN"/>
        </w:rPr>
        <w:t>附件1：</w:t>
      </w:r>
      <w:r>
        <w:rPr>
          <w:rFonts w:hint="eastAsia" w:ascii="Times New Roman" w:hAnsi="Times New Roman" w:cs="Times New Roman"/>
          <w:b/>
          <w:bCs/>
          <w:sz w:val="21"/>
          <w:szCs w:val="21"/>
          <w:vertAlign w:val="baseline"/>
          <w:lang w:val="en-US" w:eastAsia="zh-CN"/>
        </w:rPr>
        <w:t>大理州第二人民医院2025年药物基因检测试剂耗材采购项目</w:t>
      </w:r>
      <w:r>
        <w:rPr>
          <w:rFonts w:hint="default" w:ascii="Times New Roman" w:hAnsi="Times New Roman" w:cs="Times New Roman"/>
          <w:b/>
          <w:bCs/>
          <w:sz w:val="21"/>
          <w:szCs w:val="21"/>
          <w:vertAlign w:val="baseline"/>
          <w:lang w:val="en-US" w:eastAsia="zh-CN"/>
        </w:rPr>
        <w:t>采购清单</w:t>
      </w:r>
      <w:r>
        <w:rPr>
          <w:rFonts w:hint="eastAsia" w:ascii="Times New Roman" w:hAnsi="Times New Roman" w:cs="Times New Roman"/>
          <w:b/>
          <w:bCs/>
          <w:sz w:val="21"/>
          <w:szCs w:val="21"/>
          <w:vertAlign w:val="baseline"/>
          <w:lang w:val="en-US" w:eastAsia="zh-CN"/>
        </w:rPr>
        <w:t>保持一致。如测序反应通用试剂盒预算单位为反应,供货单位为盒，依次类推。</w:t>
      </w:r>
    </w:p>
    <w:bookmarkEnd w:id="139"/>
    <w:p w14:paraId="1F49EBFF">
      <w:pPr>
        <w:rPr>
          <w:rFonts w:hint="default" w:ascii="Times New Roman" w:hAnsi="Times New Roman" w:cs="Times New Roman"/>
          <w:lang w:val="en-US" w:eastAsia="zh-CN"/>
        </w:rPr>
      </w:pPr>
    </w:p>
    <w:p w14:paraId="0FBF2687">
      <w:pPr>
        <w:rPr>
          <w:rFonts w:hint="default" w:ascii="Times New Roman" w:hAnsi="Times New Roman" w:cs="Times New Roman"/>
          <w:lang w:val="en-US" w:eastAsia="zh-CN"/>
        </w:rPr>
      </w:pPr>
    </w:p>
    <w:p w14:paraId="6870BF0C">
      <w:pPr>
        <w:rPr>
          <w:rFonts w:hint="default" w:ascii="Times New Roman" w:hAnsi="Times New Roman" w:cs="Times New Roman"/>
          <w:lang w:val="en-US" w:eastAsia="zh-CN"/>
        </w:rPr>
      </w:pPr>
    </w:p>
    <w:p w14:paraId="765BDA79">
      <w:pPr>
        <w:rPr>
          <w:rFonts w:hint="default" w:ascii="Times New Roman" w:hAnsi="Times New Roman" w:cs="Times New Roman"/>
          <w:lang w:val="en-US" w:eastAsia="zh-CN"/>
        </w:rPr>
      </w:pPr>
    </w:p>
    <w:p w14:paraId="7193A7EF">
      <w:pPr>
        <w:rPr>
          <w:rFonts w:hint="default" w:ascii="Times New Roman" w:hAnsi="Times New Roman" w:cs="Times New Roman"/>
          <w:lang w:val="en-US" w:eastAsia="zh-CN"/>
        </w:rPr>
      </w:pPr>
    </w:p>
    <w:p w14:paraId="132F5341">
      <w:pPr>
        <w:rPr>
          <w:rFonts w:hint="default" w:ascii="Times New Roman" w:hAnsi="Times New Roman" w:cs="Times New Roman"/>
          <w:lang w:val="en-US" w:eastAsia="zh-CN"/>
        </w:rPr>
      </w:pPr>
    </w:p>
    <w:p w14:paraId="58E820B5">
      <w:pPr>
        <w:rPr>
          <w:rFonts w:hint="default" w:ascii="Times New Roman" w:hAnsi="Times New Roman" w:cs="Times New Roman"/>
          <w:lang w:val="en-US" w:eastAsia="zh-CN"/>
        </w:rPr>
      </w:pPr>
    </w:p>
    <w:p w14:paraId="163BE18F">
      <w:pPr>
        <w:rPr>
          <w:rFonts w:hint="default" w:ascii="Times New Roman" w:hAnsi="Times New Roman" w:cs="Times New Roman"/>
          <w:lang w:val="en-US" w:eastAsia="zh-CN"/>
        </w:rPr>
      </w:pPr>
    </w:p>
    <w:p w14:paraId="6A1D569B">
      <w:pPr>
        <w:rPr>
          <w:rFonts w:hint="default" w:ascii="Times New Roman" w:hAnsi="Times New Roman" w:cs="Times New Roman"/>
          <w:lang w:val="en-US" w:eastAsia="zh-CN"/>
        </w:rPr>
      </w:pPr>
    </w:p>
    <w:p w14:paraId="088D90A8">
      <w:pPr>
        <w:rPr>
          <w:rFonts w:hint="default" w:ascii="Times New Roman" w:hAnsi="Times New Roman" w:cs="Times New Roman"/>
          <w:lang w:val="en-US" w:eastAsia="zh-CN"/>
        </w:rPr>
      </w:pPr>
    </w:p>
    <w:p w14:paraId="24762DA6">
      <w:pPr>
        <w:pStyle w:val="4"/>
        <w:bidi w:val="0"/>
        <w:rPr>
          <w:rFonts w:hint="default" w:ascii="Times New Roman" w:hAnsi="Times New Roman" w:cs="Times New Roman"/>
          <w:lang w:val="en-US" w:eastAsia="zh-CN"/>
        </w:rPr>
      </w:pPr>
      <w:bookmarkStart w:id="140" w:name="_Toc21256"/>
      <w:r>
        <w:rPr>
          <w:rFonts w:hint="default" w:ascii="Times New Roman" w:hAnsi="Times New Roman" w:cs="Times New Roman"/>
        </w:rPr>
        <w:t>格式1</w:t>
      </w:r>
      <w:r>
        <w:rPr>
          <w:rFonts w:hint="eastAsia"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140"/>
    </w:p>
    <w:p w14:paraId="0147F3FA">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14:paraId="38B8A32A">
      <w:pPr>
        <w:bidi w:val="0"/>
        <w:rPr>
          <w:rFonts w:hint="default" w:ascii="Times New Roman" w:hAnsi="Times New Roman" w:eastAsia="方正仿宋_GBK" w:cs="Times New Roman"/>
          <w:b w:val="0"/>
          <w:bCs w:val="0"/>
          <w:color w:val="FF0000"/>
          <w:szCs w:val="32"/>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注：投标人材料提供不齐全或提供材料不符合要求的视为废标处理</w:t>
      </w:r>
      <w:r>
        <w:rPr>
          <w:rFonts w:hint="default" w:ascii="Times New Roman" w:hAnsi="Times New Roman" w:cs="Times New Roman"/>
          <w:lang w:val="en-US" w:eastAsia="zh-CN"/>
        </w:rPr>
        <w:t>）</w:t>
      </w:r>
    </w:p>
    <w:p w14:paraId="2FA96356">
      <w:pPr>
        <w:bidi w:val="0"/>
        <w:rPr>
          <w:rFonts w:hint="default" w:ascii="Times New Roman" w:hAnsi="Times New Roman" w:cs="Times New Roman"/>
          <w:b/>
          <w:bCs/>
          <w:lang w:val="en-US"/>
        </w:rPr>
      </w:pPr>
      <w:bookmarkStart w:id="141" w:name="_Toc7361_WPSOffice_Level2"/>
      <w:bookmarkStart w:id="142" w:name="_Toc14728_WPSOffice_Level2"/>
      <w:bookmarkStart w:id="143" w:name="_Toc30744_WPSOffice_Level2"/>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141"/>
      <w:bookmarkEnd w:id="142"/>
      <w:bookmarkEnd w:id="143"/>
    </w:p>
    <w:p w14:paraId="050BC5F4">
      <w:pPr>
        <w:bidi w:val="0"/>
        <w:rPr>
          <w:rFonts w:hint="default" w:ascii="Times New Roman" w:hAnsi="Times New Roman" w:cs="Times New Roman"/>
          <w:lang w:val="en-US" w:eastAsia="zh-CN"/>
        </w:rPr>
      </w:pPr>
      <w:bookmarkStart w:id="144" w:name="_Toc27975_WPSOffice_Level2"/>
      <w:bookmarkStart w:id="145" w:name="_Toc31054_WPSOffice_Level2"/>
      <w:bookmarkStart w:id="146" w:name="_Toc17950_WPSOffice_Level2"/>
      <w:r>
        <w:rPr>
          <w:rFonts w:hint="default" w:ascii="Times New Roman" w:hAnsi="Times New Roman" w:cs="Times New Roman"/>
          <w:lang w:val="en-US" w:eastAsia="zh-CN"/>
        </w:rPr>
        <w:t>1.营业执照（扫描件加盖公章）</w:t>
      </w:r>
      <w:bookmarkEnd w:id="144"/>
      <w:bookmarkEnd w:id="145"/>
      <w:bookmarkEnd w:id="146"/>
    </w:p>
    <w:p w14:paraId="1C70C473">
      <w:pPr>
        <w:bidi w:val="0"/>
        <w:rPr>
          <w:rFonts w:hint="default" w:ascii="Times New Roman" w:hAnsi="Times New Roman" w:cs="Times New Roman"/>
          <w:lang w:val="en-US" w:eastAsia="zh-CN"/>
        </w:rPr>
      </w:pPr>
      <w:bookmarkStart w:id="147" w:name="_Toc21061_WPSOffice_Level2"/>
      <w:bookmarkStart w:id="148" w:name="_Toc18063_WPSOffice_Level2"/>
      <w:bookmarkStart w:id="149" w:name="_Toc16490_WPSOffice_Level2"/>
      <w:r>
        <w:rPr>
          <w:rFonts w:hint="default" w:ascii="Times New Roman" w:hAnsi="Times New Roman" w:cs="Times New Roman"/>
          <w:lang w:val="en-US" w:eastAsia="zh-CN"/>
        </w:rPr>
        <w:t>2.组织机构代码证（扫描件加盖公章）</w:t>
      </w:r>
      <w:bookmarkEnd w:id="147"/>
      <w:bookmarkEnd w:id="148"/>
      <w:bookmarkEnd w:id="149"/>
    </w:p>
    <w:p w14:paraId="6F93FFE6">
      <w:pPr>
        <w:bidi w:val="0"/>
        <w:rPr>
          <w:rFonts w:hint="default" w:ascii="Times New Roman" w:hAnsi="Times New Roman" w:cs="Times New Roman"/>
          <w:lang w:val="en-US" w:eastAsia="zh-CN"/>
        </w:rPr>
      </w:pPr>
      <w:bookmarkStart w:id="150" w:name="_Toc13583_WPSOffice_Level2"/>
      <w:bookmarkStart w:id="151" w:name="_Toc10763_WPSOffice_Level2"/>
      <w:bookmarkStart w:id="152" w:name="_Toc13714_WPSOffice_Level2"/>
      <w:r>
        <w:rPr>
          <w:rFonts w:hint="default" w:ascii="Times New Roman" w:hAnsi="Times New Roman" w:cs="Times New Roman"/>
          <w:lang w:val="en-US" w:eastAsia="zh-CN"/>
        </w:rPr>
        <w:t>3.税务登记证（扫描件加盖公章）</w:t>
      </w:r>
      <w:bookmarkEnd w:id="150"/>
      <w:bookmarkEnd w:id="151"/>
      <w:bookmarkEnd w:id="152"/>
    </w:p>
    <w:p w14:paraId="26F8CE4F">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14:paraId="6AF5B4E8">
      <w:pPr>
        <w:bidi w:val="0"/>
        <w:rPr>
          <w:rFonts w:hint="default" w:ascii="Times New Roman" w:hAnsi="Times New Roman" w:cs="Times New Roman"/>
          <w:b/>
          <w:bCs/>
          <w:lang w:val="en-US" w:eastAsia="zh-CN"/>
        </w:rPr>
      </w:pPr>
      <w:bookmarkStart w:id="153" w:name="_Toc18409_WPSOffice_Level2"/>
      <w:bookmarkStart w:id="154" w:name="_Toc6258_WPSOffice_Level2"/>
      <w:bookmarkStart w:id="155" w:name="_Toc14380_WPSOffice_Level2"/>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-2</w:t>
      </w:r>
      <w:r>
        <w:rPr>
          <w:rFonts w:hint="default" w:ascii="Times New Roman" w:hAnsi="Times New Roman" w:cs="Times New Roman"/>
          <w:b/>
          <w:bCs/>
        </w:rPr>
        <w:t>：</w:t>
      </w:r>
      <w:bookmarkEnd w:id="153"/>
      <w:r>
        <w:rPr>
          <w:rFonts w:hint="default" w:ascii="Times New Roman" w:hAnsi="Times New Roman" w:eastAsia="方正仿宋_GBK" w:cs="Times New Roman"/>
          <w:b/>
          <w:bCs/>
          <w:color w:val="auto"/>
          <w:kern w:val="2"/>
          <w:sz w:val="32"/>
          <w:szCs w:val="32"/>
          <w:u w:val="none" w:color="auto"/>
          <w:lang w:val="en-US" w:eastAsia="zh-CN" w:bidi="ar-SA"/>
        </w:rPr>
        <w:t>有依法缴纳税收的良好记录</w:t>
      </w:r>
      <w:bookmarkEnd w:id="154"/>
      <w:bookmarkEnd w:id="155"/>
    </w:p>
    <w:p w14:paraId="052F815F">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156"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供应商具有依法缴纳税收的良好记录（须提供缴税所属时间在202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42BDBCFF">
      <w:pPr>
        <w:pStyle w:val="2"/>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格式1</w:t>
      </w:r>
      <w:r>
        <w:rPr>
          <w:rFonts w:hint="eastAsia" w:ascii="Times New Roman" w:hAnsi="Times New Roman" w:cs="Times New Roman"/>
          <w:b/>
          <w:bCs/>
          <w:color w:val="auto"/>
          <w:kern w:val="2"/>
          <w:sz w:val="32"/>
          <w:szCs w:val="32"/>
          <w:u w:val="none" w:color="auto"/>
          <w:lang w:val="en-US" w:eastAsia="zh-CN" w:bidi="ar-SA"/>
        </w:rPr>
        <w:t>2</w:t>
      </w:r>
      <w:r>
        <w:rPr>
          <w:rFonts w:hint="default" w:ascii="Times New Roman" w:hAnsi="Times New Roman" w:eastAsia="方正仿宋_GBK" w:cs="Times New Roman"/>
          <w:b/>
          <w:bCs/>
          <w:color w:val="auto"/>
          <w:kern w:val="2"/>
          <w:sz w:val="32"/>
          <w:szCs w:val="32"/>
          <w:u w:val="none" w:color="auto"/>
          <w:lang w:val="en-US" w:eastAsia="zh-CN" w:bidi="ar-SA"/>
        </w:rPr>
        <w:t>-3：有依法缴纳社会保障资金的良好记录</w:t>
      </w:r>
    </w:p>
    <w:p w14:paraId="0DC8D051">
      <w:pPr>
        <w:pStyle w:val="2"/>
        <w:keepNext w:val="0"/>
        <w:keepLines w:val="0"/>
        <w:pageBreakBefore w:val="0"/>
        <w:kinsoku/>
        <w:wordWrap/>
        <w:overflowPunct/>
        <w:topLinePunct w:val="0"/>
        <w:autoSpaceDE/>
        <w:autoSpaceDN/>
        <w:bidi w:val="0"/>
        <w:spacing w:line="480" w:lineRule="exact"/>
        <w:ind w:left="0" w:right="0"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供应商具有依法缴纳社会保障资金的良好记录（须提供缴费所属时间在202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年0</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cs="Times New Roman"/>
          <w:b w:val="0"/>
          <w:bCs w:val="0"/>
          <w:color w:val="auto"/>
          <w:kern w:val="2"/>
          <w:sz w:val="32"/>
          <w:szCs w:val="32"/>
          <w:u w:val="none" w:color="auto"/>
          <w:lang w:val="en-US" w:eastAsia="zh-CN" w:bidi="ar-SA"/>
        </w:rPr>
        <w:t>。</w:t>
      </w:r>
    </w:p>
    <w:p w14:paraId="74902F39">
      <w:pPr>
        <w:pStyle w:val="2"/>
        <w:rPr>
          <w:rFonts w:hint="default" w:ascii="Times New Roman" w:hAnsi="Times New Roman" w:eastAsia="方正仿宋_GBK" w:cs="Times New Roman"/>
          <w:b/>
          <w:bCs/>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格式1</w:t>
      </w:r>
      <w:r>
        <w:rPr>
          <w:rFonts w:hint="eastAsia" w:ascii="Times New Roman" w:hAnsi="Times New Roman" w:cs="Times New Roman"/>
          <w:b/>
          <w:bCs/>
          <w:color w:val="auto"/>
          <w:kern w:val="2"/>
          <w:sz w:val="32"/>
          <w:szCs w:val="32"/>
          <w:u w:val="none" w:color="auto"/>
          <w:lang w:val="en-US" w:eastAsia="zh-CN" w:bidi="ar-SA"/>
        </w:rPr>
        <w:t>2</w:t>
      </w:r>
      <w:r>
        <w:rPr>
          <w:rFonts w:hint="default" w:ascii="Times New Roman" w:hAnsi="Times New Roman" w:eastAsia="方正仿宋_GBK" w:cs="Times New Roman"/>
          <w:b/>
          <w:bCs/>
          <w:color w:val="auto"/>
          <w:kern w:val="2"/>
          <w:sz w:val="32"/>
          <w:szCs w:val="32"/>
          <w:u w:val="none" w:color="auto"/>
          <w:lang w:val="en-US" w:eastAsia="zh-CN" w:bidi="ar-SA"/>
        </w:rPr>
        <w:t>-</w:t>
      </w:r>
      <w:r>
        <w:rPr>
          <w:rFonts w:hint="default" w:ascii="Times New Roman" w:hAnsi="Times New Roman" w:cs="Times New Roman"/>
          <w:b/>
          <w:bCs/>
          <w:color w:val="auto"/>
          <w:kern w:val="2"/>
          <w:sz w:val="32"/>
          <w:szCs w:val="32"/>
          <w:u w:val="none" w:color="auto"/>
          <w:lang w:val="en-US" w:eastAsia="zh-CN" w:bidi="ar-SA"/>
        </w:rPr>
        <w:t>4</w:t>
      </w:r>
      <w:r>
        <w:rPr>
          <w:rFonts w:hint="default" w:ascii="Times New Roman" w:hAnsi="Times New Roman" w:eastAsia="方正仿宋_GBK" w:cs="Times New Roman"/>
          <w:b/>
          <w:bCs/>
          <w:color w:val="auto"/>
          <w:kern w:val="2"/>
          <w:sz w:val="32"/>
          <w:szCs w:val="32"/>
          <w:u w:val="none" w:color="auto"/>
          <w:lang w:val="en-US" w:eastAsia="zh-CN" w:bidi="ar-SA"/>
        </w:rPr>
        <w:t>：</w:t>
      </w:r>
      <w:r>
        <w:rPr>
          <w:rFonts w:hint="default" w:ascii="Times New Roman" w:hAnsi="Times New Roman" w:cs="Times New Roman"/>
          <w:b/>
          <w:bCs/>
          <w:color w:val="auto"/>
          <w:kern w:val="2"/>
          <w:sz w:val="32"/>
          <w:szCs w:val="32"/>
          <w:u w:val="none" w:color="auto"/>
          <w:lang w:val="en-US" w:eastAsia="zh-CN" w:bidi="ar-SA"/>
        </w:rPr>
        <w:t>特定资格要求</w:t>
      </w:r>
    </w:p>
    <w:p w14:paraId="3A6757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 </w:t>
      </w:r>
    </w:p>
    <w:bookmarkEnd w:id="156"/>
    <w:p w14:paraId="447EAC7D">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157" w:name="_Toc4190_WPSOffice_Level2"/>
      <w:bookmarkStart w:id="158" w:name="_Toc9860_WPSOffice_Level2"/>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5</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157"/>
      <w:bookmarkEnd w:id="158"/>
    </w:p>
    <w:p w14:paraId="51EF68B2">
      <w:pPr>
        <w:keepNext w:val="0"/>
        <w:keepLines w:val="0"/>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投标人未被列入“信用中国”网站（www.creditchina.gov.cn）“失信被执行人、政府采购严重违法失信行为记录名单、重大税收违法失信主体”及中国政府采购网（www.ccgp.gov.cn）“政府采购严重违法失信行为信息记录”。</w:t>
      </w:r>
    </w:p>
    <w:p w14:paraId="6E6E73D4">
      <w:pPr>
        <w:bidi w:val="0"/>
        <w:rPr>
          <w:rFonts w:hint="default" w:ascii="Times New Roman" w:hAnsi="Times New Roman" w:cs="Times New Roman"/>
          <w:b w:val="0"/>
          <w:bCs w:val="0"/>
          <w:lang w:val="en-US" w:eastAsia="zh-CN"/>
        </w:rPr>
      </w:pPr>
      <w:r>
        <w:rPr>
          <w:rFonts w:hint="default" w:ascii="Times New Roman" w:hAnsi="Times New Roman" w:cs="Times New Roman"/>
          <w:b/>
          <w:bCs/>
        </w:rPr>
        <w:t>格式1</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-6</w:t>
      </w:r>
      <w:r>
        <w:rPr>
          <w:rFonts w:hint="default" w:ascii="Times New Roman" w:hAnsi="Times New Roman" w:cs="Times New Roman"/>
          <w:b/>
          <w:bCs/>
        </w:rPr>
        <w:t>：</w:t>
      </w:r>
      <w:r>
        <w:rPr>
          <w:rFonts w:hint="default" w:ascii="Times New Roman" w:hAnsi="Times New Roman" w:cs="Times New Roman"/>
          <w:b w:val="0"/>
          <w:bCs w:val="0"/>
          <w:lang w:val="en-US" w:eastAsia="zh-CN"/>
        </w:rPr>
        <w:t>提供</w:t>
      </w:r>
      <w:r>
        <w:rPr>
          <w:rFonts w:hint="default" w:ascii="Times New Roman" w:hAnsi="Times New Roman" w:cs="Times New Roman"/>
          <w:b w:val="0"/>
          <w:bCs w:val="0"/>
        </w:rPr>
        <w:t>参加政府采购活动前三年内在经营活动中没有重大违法记录的</w:t>
      </w:r>
      <w:r>
        <w:rPr>
          <w:rFonts w:hint="default" w:ascii="Times New Roman" w:hAnsi="Times New Roman" w:cs="Times New Roman"/>
          <w:b w:val="0"/>
          <w:bCs w:val="0"/>
          <w:lang w:val="en-US" w:eastAsia="zh-CN"/>
        </w:rPr>
        <w:t>书面</w:t>
      </w:r>
      <w:r>
        <w:rPr>
          <w:rFonts w:hint="default" w:ascii="Times New Roman" w:hAnsi="Times New Roman" w:cs="Times New Roman"/>
          <w:b w:val="0"/>
          <w:bCs w:val="0"/>
        </w:rPr>
        <w:t>声明</w:t>
      </w:r>
      <w:r>
        <w:rPr>
          <w:rFonts w:hint="default" w:ascii="Times New Roman" w:hAnsi="Times New Roman" w:cs="Times New Roman"/>
          <w:b w:val="0"/>
          <w:bCs w:val="0"/>
          <w:lang w:val="en-US" w:eastAsia="zh-CN"/>
        </w:rPr>
        <w:t>函即可（格式自拟）。</w:t>
      </w:r>
    </w:p>
    <w:p w14:paraId="0EBFA5E5">
      <w:pPr>
        <w:pStyle w:val="2"/>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7</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w:t>
      </w:r>
      <w:r>
        <w:rPr>
          <w:rFonts w:hint="default" w:ascii="Times New Roman" w:hAnsi="Times New Roman" w:cs="Times New Roman"/>
          <w:b w:val="0"/>
          <w:bCs w:val="0"/>
          <w:color w:val="auto"/>
          <w:kern w:val="2"/>
          <w:sz w:val="32"/>
          <w:szCs w:val="32"/>
          <w:u w:val="none" w:color="auto"/>
          <w:lang w:val="en-US" w:eastAsia="zh-CN" w:bidi="ar-SA"/>
        </w:rPr>
        <w:t>即可</w:t>
      </w:r>
      <w:r>
        <w:rPr>
          <w:rFonts w:hint="default" w:ascii="Times New Roman" w:hAnsi="Times New Roman" w:eastAsia="方正仿宋_GBK" w:cs="Times New Roman"/>
          <w:b w:val="0"/>
          <w:bCs w:val="0"/>
          <w:color w:val="auto"/>
          <w:kern w:val="2"/>
          <w:sz w:val="32"/>
          <w:szCs w:val="32"/>
          <w:u w:val="none" w:color="auto"/>
          <w:lang w:val="en-US" w:eastAsia="zh-CN" w:bidi="ar-SA"/>
        </w:rPr>
        <w:t>（格式自拟）</w:t>
      </w:r>
      <w:r>
        <w:rPr>
          <w:rFonts w:hint="default" w:ascii="Times New Roman" w:hAnsi="Times New Roman" w:cs="Times New Roman"/>
          <w:b w:val="0"/>
          <w:bCs w:val="0"/>
          <w:color w:val="auto"/>
          <w:kern w:val="2"/>
          <w:sz w:val="32"/>
          <w:szCs w:val="32"/>
          <w:u w:val="none" w:color="auto"/>
          <w:lang w:val="en-US" w:eastAsia="zh-CN" w:bidi="ar-SA"/>
        </w:rPr>
        <w:t>。</w:t>
      </w:r>
    </w:p>
    <w:p w14:paraId="05A9299A">
      <w:pPr>
        <w:rPr>
          <w:rFonts w:hint="default" w:ascii="Times New Roman" w:hAnsi="Times New Roman" w:cs="Times New Roman"/>
          <w:b w:val="0"/>
          <w:bCs w:val="0"/>
          <w:color w:val="auto"/>
          <w:kern w:val="2"/>
          <w:sz w:val="32"/>
          <w:szCs w:val="32"/>
          <w:u w:val="none" w:color="auto"/>
          <w:lang w:val="en-US" w:eastAsia="zh-CN" w:bidi="ar-SA"/>
        </w:rPr>
      </w:pPr>
    </w:p>
    <w:p w14:paraId="14839C07">
      <w:pPr>
        <w:rPr>
          <w:rFonts w:hint="default" w:ascii="Times New Roman" w:hAnsi="Times New Roman" w:cs="Times New Roman"/>
          <w:b w:val="0"/>
          <w:bCs w:val="0"/>
          <w:color w:val="auto"/>
          <w:kern w:val="2"/>
          <w:sz w:val="32"/>
          <w:szCs w:val="32"/>
          <w:u w:val="none" w:color="auto"/>
          <w:lang w:val="en-US" w:eastAsia="zh-CN" w:bidi="ar-SA"/>
        </w:rPr>
      </w:pPr>
    </w:p>
    <w:p w14:paraId="2A27860E">
      <w:pPr>
        <w:rPr>
          <w:rFonts w:hint="default" w:ascii="Times New Roman" w:hAnsi="Times New Roman" w:cs="Times New Roman"/>
          <w:b w:val="0"/>
          <w:bCs w:val="0"/>
          <w:color w:val="auto"/>
          <w:kern w:val="2"/>
          <w:sz w:val="32"/>
          <w:szCs w:val="32"/>
          <w:u w:val="none" w:color="auto"/>
          <w:lang w:val="en-US" w:eastAsia="zh-CN" w:bidi="ar-SA"/>
        </w:rPr>
      </w:pPr>
    </w:p>
    <w:p w14:paraId="5558EC94">
      <w:pPr>
        <w:rPr>
          <w:rFonts w:hint="default" w:ascii="Times New Roman" w:hAnsi="Times New Roman" w:cs="Times New Roman"/>
          <w:b w:val="0"/>
          <w:bCs w:val="0"/>
          <w:color w:val="auto"/>
          <w:kern w:val="2"/>
          <w:sz w:val="32"/>
          <w:szCs w:val="32"/>
          <w:u w:val="none" w:color="auto"/>
          <w:lang w:val="en-US" w:eastAsia="zh-CN" w:bidi="ar-SA"/>
        </w:rPr>
      </w:pPr>
    </w:p>
    <w:p w14:paraId="1CCEEECB">
      <w:pPr>
        <w:pStyle w:val="4"/>
        <w:bidi w:val="0"/>
        <w:rPr>
          <w:rFonts w:hint="default" w:ascii="Times New Roman" w:hAnsi="Times New Roman" w:eastAsia="方正黑体_GBK" w:cs="Times New Roman"/>
          <w:lang w:eastAsia="zh-CN"/>
        </w:rPr>
      </w:pPr>
      <w:bookmarkStart w:id="159" w:name="_Toc28525"/>
      <w:r>
        <w:rPr>
          <w:rFonts w:hint="default" w:ascii="Times New Roman" w:hAnsi="Times New Roman" w:cs="Times New Roman"/>
        </w:rPr>
        <w:t>格式1</w:t>
      </w:r>
      <w:r>
        <w:rPr>
          <w:rFonts w:hint="eastAsia" w:ascii="Times New Roman" w:hAnsi="Times New Roman" w:cs="Times New Roman"/>
          <w:lang w:val="en-US" w:eastAsia="zh-CN"/>
        </w:rPr>
        <w:t>3</w:t>
      </w:r>
      <w:r>
        <w:rPr>
          <w:rFonts w:hint="default" w:ascii="Times New Roman" w:hAnsi="Times New Roman" w:cs="Times New Roman"/>
        </w:rPr>
        <w:t>：企业相关资料</w:t>
      </w:r>
      <w:bookmarkEnd w:id="159"/>
      <w:r>
        <w:rPr>
          <w:rFonts w:hint="default" w:ascii="Times New Roman" w:hAnsi="Times New Roman" w:cs="Times New Roman"/>
          <w:lang w:eastAsia="zh-CN"/>
        </w:rPr>
        <w:t>（</w:t>
      </w:r>
      <w:r>
        <w:rPr>
          <w:rFonts w:hint="default" w:ascii="Times New Roman" w:hAnsi="Times New Roman" w:cs="Times New Roman"/>
          <w:lang w:val="en-US" w:eastAsia="zh-CN"/>
        </w:rPr>
        <w:t>若有</w:t>
      </w:r>
      <w:r>
        <w:rPr>
          <w:rFonts w:hint="default" w:ascii="Times New Roman" w:hAnsi="Times New Roman" w:cs="Times New Roman"/>
          <w:lang w:eastAsia="zh-CN"/>
        </w:rPr>
        <w:t>）</w:t>
      </w:r>
    </w:p>
    <w:p w14:paraId="54723B69">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14:paraId="76E5DCAA">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14:paraId="635EF018">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0" w:name="_Toc3033_WPSOffice_Level2"/>
      <w:bookmarkStart w:id="161" w:name="_Toc11700_WPSOffice_Level2"/>
      <w:bookmarkStart w:id="162"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160"/>
      <w:bookmarkEnd w:id="161"/>
      <w:bookmarkEnd w:id="162"/>
    </w:p>
    <w:p w14:paraId="2E12CB31">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3" w:name="_Toc23114_WPSOffice_Level2"/>
      <w:bookmarkStart w:id="164" w:name="_Toc21697_WPSOffice_Level2"/>
      <w:bookmarkStart w:id="165" w:name="_Toc2165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公司介绍、公司获奖证书、公司实力证明材料（若有）；</w:t>
      </w:r>
      <w:bookmarkEnd w:id="163"/>
      <w:bookmarkEnd w:id="164"/>
      <w:bookmarkEnd w:id="165"/>
    </w:p>
    <w:p w14:paraId="107E014E">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66" w:name="_Toc32075_WPSOffice_Level2"/>
      <w:bookmarkStart w:id="167" w:name="_Toc23135_WPSOffice_Level2"/>
      <w:bookmarkStart w:id="168" w:name="_Toc16409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166"/>
      <w:bookmarkEnd w:id="167"/>
      <w:bookmarkEnd w:id="168"/>
    </w:p>
    <w:p w14:paraId="6C13AC28">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14:paraId="16A69FE3">
      <w:pPr>
        <w:pStyle w:val="4"/>
        <w:bidi w:val="0"/>
        <w:outlineLvl w:val="9"/>
        <w:rPr>
          <w:rFonts w:hint="default" w:ascii="Times New Roman" w:hAnsi="Times New Roman" w:cs="Times New Roman"/>
        </w:rPr>
      </w:pPr>
    </w:p>
    <w:p w14:paraId="565117A6">
      <w:pPr>
        <w:pStyle w:val="4"/>
        <w:bidi w:val="0"/>
        <w:rPr>
          <w:rFonts w:hint="default" w:ascii="Times New Roman" w:hAnsi="Times New Roman" w:cs="Times New Roman"/>
        </w:rPr>
      </w:pPr>
    </w:p>
    <w:p w14:paraId="1058187B">
      <w:pPr>
        <w:rPr>
          <w:rFonts w:hint="default" w:ascii="Times New Roman" w:hAnsi="Times New Roman" w:cs="Times New Roman"/>
          <w:b w:val="0"/>
          <w:bCs w:val="0"/>
          <w:color w:val="auto"/>
          <w:kern w:val="2"/>
          <w:sz w:val="32"/>
          <w:szCs w:val="32"/>
          <w:u w:val="none" w:color="auto"/>
          <w:lang w:val="en-US" w:eastAsia="zh-CN" w:bidi="ar-SA"/>
        </w:rPr>
      </w:pPr>
    </w:p>
    <w:p w14:paraId="16A3C5E5">
      <w:pPr>
        <w:rPr>
          <w:rFonts w:hint="default" w:ascii="Times New Roman" w:hAnsi="Times New Roman" w:cs="Times New Roman"/>
          <w:b w:val="0"/>
          <w:bCs w:val="0"/>
          <w:color w:val="auto"/>
          <w:kern w:val="2"/>
          <w:sz w:val="32"/>
          <w:szCs w:val="32"/>
          <w:u w:val="none" w:color="auto"/>
          <w:lang w:val="en-US" w:eastAsia="zh-CN" w:bidi="ar-SA"/>
        </w:rPr>
      </w:pPr>
    </w:p>
    <w:p w14:paraId="3B94AE4E">
      <w:pPr>
        <w:rPr>
          <w:rFonts w:hint="default" w:ascii="Times New Roman" w:hAnsi="Times New Roman" w:cs="Times New Roman"/>
          <w:b w:val="0"/>
          <w:bCs w:val="0"/>
          <w:color w:val="auto"/>
          <w:kern w:val="2"/>
          <w:sz w:val="32"/>
          <w:szCs w:val="32"/>
          <w:u w:val="none" w:color="auto"/>
          <w:lang w:val="en-US" w:eastAsia="zh-CN" w:bidi="ar-SA"/>
        </w:rPr>
      </w:pPr>
    </w:p>
    <w:p w14:paraId="0994D57A">
      <w:pPr>
        <w:rPr>
          <w:rFonts w:hint="default" w:ascii="Times New Roman" w:hAnsi="Times New Roman" w:cs="Times New Roman"/>
          <w:b w:val="0"/>
          <w:bCs w:val="0"/>
          <w:color w:val="auto"/>
          <w:kern w:val="2"/>
          <w:sz w:val="32"/>
          <w:szCs w:val="32"/>
          <w:u w:val="none" w:color="auto"/>
          <w:lang w:val="en-US" w:eastAsia="zh-CN" w:bidi="ar-SA"/>
        </w:rPr>
      </w:pPr>
    </w:p>
    <w:p w14:paraId="6C8AD706">
      <w:pPr>
        <w:rPr>
          <w:rFonts w:hint="default" w:ascii="Times New Roman" w:hAnsi="Times New Roman" w:cs="Times New Roman"/>
          <w:b w:val="0"/>
          <w:bCs w:val="0"/>
          <w:color w:val="auto"/>
          <w:kern w:val="2"/>
          <w:sz w:val="32"/>
          <w:szCs w:val="32"/>
          <w:u w:val="none" w:color="auto"/>
          <w:lang w:val="en-US" w:eastAsia="zh-CN" w:bidi="ar-SA"/>
        </w:rPr>
      </w:pPr>
    </w:p>
    <w:p w14:paraId="2FDDE4C5">
      <w:pPr>
        <w:rPr>
          <w:rFonts w:hint="default" w:ascii="Times New Roman" w:hAnsi="Times New Roman" w:cs="Times New Roman"/>
          <w:b w:val="0"/>
          <w:bCs w:val="0"/>
          <w:color w:val="auto"/>
          <w:kern w:val="2"/>
          <w:sz w:val="32"/>
          <w:szCs w:val="32"/>
          <w:u w:val="none" w:color="auto"/>
          <w:lang w:val="en-US" w:eastAsia="zh-CN" w:bidi="ar-SA"/>
        </w:rPr>
      </w:pPr>
    </w:p>
    <w:p w14:paraId="703E7B00">
      <w:pPr>
        <w:rPr>
          <w:rFonts w:hint="default" w:ascii="Times New Roman" w:hAnsi="Times New Roman" w:cs="Times New Roman"/>
          <w:b w:val="0"/>
          <w:bCs w:val="0"/>
          <w:color w:val="auto"/>
          <w:kern w:val="2"/>
          <w:sz w:val="32"/>
          <w:szCs w:val="32"/>
          <w:u w:val="none" w:color="auto"/>
          <w:lang w:val="en-US" w:eastAsia="zh-CN" w:bidi="ar-SA"/>
        </w:rPr>
      </w:pPr>
    </w:p>
    <w:p w14:paraId="0C17CCB5">
      <w:pPr>
        <w:rPr>
          <w:rFonts w:hint="default" w:ascii="Times New Roman" w:hAnsi="Times New Roman" w:cs="Times New Roman"/>
          <w:b w:val="0"/>
          <w:bCs w:val="0"/>
          <w:color w:val="auto"/>
          <w:kern w:val="2"/>
          <w:sz w:val="32"/>
          <w:szCs w:val="32"/>
          <w:u w:val="none" w:color="auto"/>
          <w:lang w:val="en-US" w:eastAsia="zh-CN" w:bidi="ar-SA"/>
        </w:rPr>
      </w:pPr>
    </w:p>
    <w:p w14:paraId="6ACC7958">
      <w:pPr>
        <w:rPr>
          <w:rFonts w:hint="default" w:ascii="Times New Roman" w:hAnsi="Times New Roman" w:cs="Times New Roman"/>
          <w:b w:val="0"/>
          <w:bCs w:val="0"/>
          <w:color w:val="auto"/>
          <w:kern w:val="2"/>
          <w:sz w:val="32"/>
          <w:szCs w:val="32"/>
          <w:u w:val="none" w:color="auto"/>
          <w:lang w:val="en-US" w:eastAsia="zh-CN" w:bidi="ar-SA"/>
        </w:rPr>
      </w:pPr>
    </w:p>
    <w:p w14:paraId="4FB97459">
      <w:pPr>
        <w:rPr>
          <w:rFonts w:hint="default" w:ascii="Times New Roman" w:hAnsi="Times New Roman" w:cs="Times New Roman"/>
          <w:b w:val="0"/>
          <w:bCs w:val="0"/>
          <w:color w:val="auto"/>
          <w:kern w:val="2"/>
          <w:sz w:val="32"/>
          <w:szCs w:val="32"/>
          <w:u w:val="none" w:color="auto"/>
          <w:lang w:val="en-US" w:eastAsia="zh-CN" w:bidi="ar-SA"/>
        </w:rPr>
      </w:pPr>
    </w:p>
    <w:p w14:paraId="51A61CBE">
      <w:pPr>
        <w:rPr>
          <w:rFonts w:hint="default" w:ascii="Times New Roman" w:hAnsi="Times New Roman" w:cs="Times New Roman"/>
          <w:b w:val="0"/>
          <w:bCs w:val="0"/>
          <w:color w:val="auto"/>
          <w:kern w:val="2"/>
          <w:sz w:val="32"/>
          <w:szCs w:val="32"/>
          <w:u w:val="none" w:color="auto"/>
          <w:lang w:val="en-US" w:eastAsia="zh-CN" w:bidi="ar-SA"/>
        </w:rPr>
      </w:pPr>
    </w:p>
    <w:p w14:paraId="688559B0">
      <w:pPr>
        <w:rPr>
          <w:rFonts w:hint="default" w:ascii="Times New Roman" w:hAnsi="Times New Roman" w:cs="Times New Roman"/>
          <w:b w:val="0"/>
          <w:bCs w:val="0"/>
          <w:color w:val="auto"/>
          <w:kern w:val="2"/>
          <w:sz w:val="32"/>
          <w:szCs w:val="32"/>
          <w:u w:val="none" w:color="auto"/>
          <w:lang w:val="en-US" w:eastAsia="zh-CN" w:bidi="ar-SA"/>
        </w:rPr>
      </w:pPr>
    </w:p>
    <w:p w14:paraId="332E8CAD">
      <w:pPr>
        <w:rPr>
          <w:rFonts w:hint="default" w:ascii="Times New Roman" w:hAnsi="Times New Roman" w:cs="Times New Roman"/>
          <w:b w:val="0"/>
          <w:bCs w:val="0"/>
          <w:color w:val="auto"/>
          <w:kern w:val="2"/>
          <w:sz w:val="32"/>
          <w:szCs w:val="32"/>
          <w:u w:val="none" w:color="auto"/>
          <w:lang w:val="en-US" w:eastAsia="zh-CN" w:bidi="ar-SA"/>
        </w:rPr>
      </w:pPr>
    </w:p>
    <w:p w14:paraId="7E94AD7D">
      <w:pPr>
        <w:rPr>
          <w:rFonts w:hint="default" w:ascii="Times New Roman" w:hAnsi="Times New Roman" w:cs="Times New Roman"/>
          <w:b w:val="0"/>
          <w:bCs w:val="0"/>
          <w:color w:val="auto"/>
          <w:kern w:val="2"/>
          <w:sz w:val="32"/>
          <w:szCs w:val="32"/>
          <w:u w:val="none" w:color="auto"/>
          <w:lang w:val="en-US" w:eastAsia="zh-CN" w:bidi="ar-SA"/>
        </w:rPr>
      </w:pPr>
    </w:p>
    <w:p w14:paraId="5744A1A3">
      <w:pPr>
        <w:pStyle w:val="3"/>
        <w:bidi w:val="0"/>
        <w:rPr>
          <w:rFonts w:hint="default" w:ascii="Times New Roman" w:hAnsi="Times New Roman" w:eastAsia="方正小标宋_GBK" w:cs="Times New Roman"/>
          <w:sz w:val="44"/>
          <w:szCs w:val="44"/>
          <w:lang w:val="en-US" w:eastAsia="zh-CN"/>
        </w:rPr>
      </w:pPr>
      <w:bookmarkStart w:id="169" w:name="_Toc24466"/>
      <w:r>
        <w:rPr>
          <w:rFonts w:hint="default" w:ascii="Times New Roman" w:hAnsi="Times New Roman" w:eastAsia="方正小标宋_GBK" w:cs="Times New Roman"/>
          <w:sz w:val="44"/>
          <w:szCs w:val="44"/>
          <w:lang w:val="en-US" w:eastAsia="zh-CN"/>
        </w:rPr>
        <w:t>第五章 采购需求</w:t>
      </w:r>
      <w:bookmarkEnd w:id="169"/>
    </w:p>
    <w:p w14:paraId="63712636">
      <w:pPr>
        <w:rPr>
          <w:rFonts w:hint="default"/>
          <w:lang w:val="en-US" w:eastAsia="zh-CN"/>
        </w:rPr>
      </w:pPr>
    </w:p>
    <w:p w14:paraId="5560DE2D">
      <w:pPr>
        <w:pStyle w:val="4"/>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bookmarkStart w:id="170" w:name="_Toc18383"/>
      <w:bookmarkStart w:id="171" w:name="_Toc7716_WPSOffice_Level2"/>
      <w:r>
        <w:rPr>
          <w:rFonts w:hint="default" w:ascii="Times New Roman" w:hAnsi="Times New Roman" w:cs="Times New Roman"/>
          <w:lang w:val="en-US" w:eastAsia="zh-CN"/>
        </w:rPr>
        <w:t>一、</w:t>
      </w:r>
      <w:bookmarkEnd w:id="170"/>
      <w:bookmarkEnd w:id="171"/>
      <w:r>
        <w:rPr>
          <w:rFonts w:hint="default" w:ascii="Times New Roman" w:hAnsi="Times New Roman" w:cs="Times New Roman"/>
          <w:lang w:val="en-US" w:eastAsia="zh-CN"/>
        </w:rPr>
        <w:t>采购清单</w:t>
      </w:r>
      <w:r>
        <w:rPr>
          <w:rFonts w:hint="eastAsia" w:ascii="Times New Roman" w:hAnsi="Times New Roman" w:cs="Times New Roman"/>
          <w:lang w:val="en-US" w:eastAsia="zh-CN"/>
        </w:rPr>
        <w:t>及具体要求</w:t>
      </w:r>
    </w:p>
    <w:p w14:paraId="35FFB1AA">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lang w:val="en-US" w:eastAsia="zh-CN" w:bidi="ar-SA"/>
        </w:rPr>
        <w:t>采购清单详见附件1：</w:t>
      </w:r>
      <w:r>
        <w:rPr>
          <w:rFonts w:hint="eastAsia" w:ascii="Times New Roman" w:hAnsi="Times New Roman" w:cs="Times New Roman"/>
          <w:b w:val="0"/>
          <w:bCs w:val="0"/>
          <w:color w:val="auto"/>
          <w:kern w:val="2"/>
          <w:sz w:val="32"/>
          <w:szCs w:val="32"/>
          <w:u w:val="none"/>
          <w:lang w:val="en-US" w:eastAsia="zh-CN" w:bidi="ar-SA"/>
        </w:rPr>
        <w:t>大理州第二人民医院2025年药物基因检测试剂耗材采购项目</w:t>
      </w:r>
      <w:r>
        <w:rPr>
          <w:rFonts w:hint="default" w:ascii="Times New Roman" w:hAnsi="Times New Roman" w:eastAsia="方正仿宋_GBK" w:cs="Times New Roman"/>
          <w:b w:val="0"/>
          <w:bCs w:val="0"/>
          <w:color w:val="auto"/>
          <w:kern w:val="2"/>
          <w:sz w:val="32"/>
          <w:szCs w:val="32"/>
          <w:u w:val="none"/>
          <w:lang w:val="en-US" w:eastAsia="zh-CN" w:bidi="ar-SA"/>
        </w:rPr>
        <w:t>采购清单</w:t>
      </w:r>
    </w:p>
    <w:p w14:paraId="4BE58F8B">
      <w:pPr>
        <w:pStyle w:val="4"/>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172" w:name="_Toc2488"/>
      <w:r>
        <w:rPr>
          <w:rFonts w:hint="default" w:ascii="Times New Roman" w:hAnsi="Times New Roman" w:cs="Times New Roman"/>
          <w:lang w:val="en-US" w:eastAsia="zh-CN"/>
        </w:rPr>
        <w:t>商务要求</w:t>
      </w:r>
      <w:bookmarkEnd w:id="172"/>
    </w:p>
    <w:p w14:paraId="541BCCDC">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交货时间：接到订单后，中标方正常情况下48小时内送达采购人指定地点，特殊情况不得超过72小时，加急情况下需24小时内送达，特殊情况下节假日照常配送；</w:t>
      </w:r>
    </w:p>
    <w:p w14:paraId="51CB991D">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交货地点：大理州第二人民医院指定地点；</w:t>
      </w:r>
    </w:p>
    <w:p w14:paraId="1FAFF275">
      <w:pPr>
        <w:keepNext w:val="0"/>
        <w:keepLines w:val="0"/>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交货方式</w:t>
      </w:r>
      <w:r>
        <w:rPr>
          <w:rFonts w:hint="default" w:ascii="Times New Roman" w:hAnsi="Times New Roman"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由中标方负责免费运输至采购人指定位置，双方在场接收；</w:t>
      </w:r>
    </w:p>
    <w:p w14:paraId="1E3A9A29">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安装培训要求：必要时提供操作培训及答疑；</w:t>
      </w:r>
    </w:p>
    <w:p w14:paraId="56FC6218">
      <w:pPr>
        <w:keepNext w:val="0"/>
        <w:keepLines w:val="0"/>
        <w:pageBreakBefore w:val="0"/>
        <w:widowControl w:val="0"/>
        <w:numPr>
          <w:ilvl w:val="0"/>
          <w:numId w:val="7"/>
        </w:numPr>
        <w:kinsoku/>
        <w:wordWrap/>
        <w:overflowPunct/>
        <w:topLinePunct w:val="0"/>
        <w:autoSpaceDE/>
        <w:autoSpaceDN/>
        <w:bidi w:val="0"/>
        <w:snapToGrid/>
        <w:spacing w:line="460" w:lineRule="exact"/>
        <w:ind w:leftChars="0"/>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验收要求及标准：①对照发货清单、订购清单核对试剂耗材名称、规格型号、订购数量②核对试剂耗材生产厂家、批号、生产日期、有效期、包装情况、质量等③核对试剂耗材采购价格与合同价格；</w:t>
      </w:r>
    </w:p>
    <w:p w14:paraId="40576B18">
      <w:pPr>
        <w:pStyle w:val="2"/>
        <w:pageBreakBefore w:val="0"/>
        <w:widowControl w:val="0"/>
        <w:numPr>
          <w:ilvl w:val="0"/>
          <w:numId w:val="7"/>
        </w:numPr>
        <w:kinsoku/>
        <w:wordWrap/>
        <w:overflowPunct/>
        <w:topLinePunct w:val="0"/>
        <w:autoSpaceDE/>
        <w:autoSpaceDN/>
        <w:bidi w:val="0"/>
        <w:snapToGrid/>
        <w:spacing w:line="460" w:lineRule="exact"/>
        <w:ind w:left="0" w:leftChars="0" w:firstLine="0" w:firstLineChars="0"/>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其他要求：</w:t>
      </w:r>
      <w:r>
        <w:rPr>
          <w:rFonts w:hint="default" w:ascii="Times New Roman" w:hAnsi="Times New Roman" w:eastAsia="方正仿宋_GBK" w:cs="Times New Roman"/>
          <w:b w:val="0"/>
          <w:bCs w:val="0"/>
          <w:color w:val="auto"/>
          <w:kern w:val="2"/>
          <w:sz w:val="32"/>
          <w:szCs w:val="32"/>
          <w:u w:val="none"/>
          <w:lang w:val="en-US" w:eastAsia="zh-CN" w:bidi="ar-SA"/>
        </w:rPr>
        <w:t>中标方如没有按照合同约定的付款方式和时间提供发票进行结算，或者提供的发票和结算材料与实际采购数量、品种和金额不符导致无法办理结算付款的，</w:t>
      </w:r>
      <w:r>
        <w:rPr>
          <w:rFonts w:hint="default" w:ascii="Times New Roman" w:hAnsi="Times New Roman" w:cs="Times New Roman"/>
          <w:b w:val="0"/>
          <w:bCs w:val="0"/>
          <w:color w:val="auto"/>
          <w:kern w:val="2"/>
          <w:sz w:val="32"/>
          <w:szCs w:val="32"/>
          <w:u w:val="none"/>
          <w:lang w:val="en-US" w:eastAsia="zh-CN" w:bidi="ar-SA"/>
        </w:rPr>
        <w:t>采购人</w:t>
      </w:r>
      <w:r>
        <w:rPr>
          <w:rFonts w:hint="default" w:ascii="Times New Roman" w:hAnsi="Times New Roman" w:eastAsia="方正仿宋_GBK" w:cs="Times New Roman"/>
          <w:b w:val="0"/>
          <w:bCs w:val="0"/>
          <w:color w:val="auto"/>
          <w:kern w:val="2"/>
          <w:sz w:val="32"/>
          <w:szCs w:val="32"/>
          <w:u w:val="none"/>
          <w:lang w:val="en-US" w:eastAsia="zh-CN" w:bidi="ar-SA"/>
        </w:rPr>
        <w:t>有权不支付货款，情况严重的，</w:t>
      </w:r>
      <w:r>
        <w:rPr>
          <w:rFonts w:hint="default" w:ascii="Times New Roman" w:hAnsi="Times New Roman" w:cs="Times New Roman"/>
          <w:b w:val="0"/>
          <w:bCs w:val="0"/>
          <w:color w:val="auto"/>
          <w:kern w:val="2"/>
          <w:sz w:val="32"/>
          <w:szCs w:val="32"/>
          <w:u w:val="none"/>
          <w:lang w:val="en-US" w:eastAsia="zh-CN" w:bidi="ar-SA"/>
        </w:rPr>
        <w:t>采购人</w:t>
      </w:r>
      <w:r>
        <w:rPr>
          <w:rFonts w:hint="default" w:ascii="Times New Roman" w:hAnsi="Times New Roman" w:eastAsia="方正仿宋_GBK" w:cs="Times New Roman"/>
          <w:b w:val="0"/>
          <w:bCs w:val="0"/>
          <w:color w:val="auto"/>
          <w:kern w:val="2"/>
          <w:sz w:val="32"/>
          <w:szCs w:val="32"/>
          <w:u w:val="none"/>
          <w:lang w:val="en-US" w:eastAsia="zh-CN" w:bidi="ar-SA"/>
        </w:rPr>
        <w:t>有权终止合同，由此产生的责任由</w:t>
      </w:r>
      <w:r>
        <w:rPr>
          <w:rFonts w:hint="default" w:ascii="Times New Roman" w:hAnsi="Times New Roman" w:cs="Times New Roman"/>
          <w:b w:val="0"/>
          <w:bCs w:val="0"/>
          <w:color w:val="auto"/>
          <w:kern w:val="2"/>
          <w:sz w:val="32"/>
          <w:szCs w:val="32"/>
          <w:u w:val="none"/>
          <w:lang w:val="en-US" w:eastAsia="zh-CN" w:bidi="ar-SA"/>
        </w:rPr>
        <w:t>供应商</w:t>
      </w:r>
      <w:r>
        <w:rPr>
          <w:rFonts w:hint="default" w:ascii="Times New Roman" w:hAnsi="Times New Roman" w:eastAsia="方正仿宋_GBK" w:cs="Times New Roman"/>
          <w:b w:val="0"/>
          <w:bCs w:val="0"/>
          <w:color w:val="auto"/>
          <w:kern w:val="2"/>
          <w:sz w:val="32"/>
          <w:szCs w:val="32"/>
          <w:u w:val="none"/>
          <w:lang w:val="en-US" w:eastAsia="zh-CN" w:bidi="ar-SA"/>
        </w:rPr>
        <w:t>承担。</w:t>
      </w:r>
    </w:p>
    <w:p w14:paraId="242CEE22">
      <w:pPr>
        <w:pStyle w:val="4"/>
        <w:pageBreakBefore w:val="0"/>
        <w:widowControl w:val="0"/>
        <w:numPr>
          <w:ilvl w:val="0"/>
          <w:numId w:val="6"/>
        </w:numPr>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173" w:name="_Toc10131"/>
      <w:r>
        <w:rPr>
          <w:rFonts w:hint="default" w:ascii="Times New Roman" w:hAnsi="Times New Roman" w:cs="Times New Roman"/>
          <w:lang w:val="en-US" w:eastAsia="zh-CN"/>
        </w:rPr>
        <w:t>售后服务要求</w:t>
      </w:r>
      <w:bookmarkEnd w:id="173"/>
    </w:p>
    <w:p w14:paraId="53F6E4CF">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1、技术服务要求：必要时免费派工程师现场指导培训，提供试剂耗材操作培训及答疑；</w:t>
      </w:r>
    </w:p>
    <w:p w14:paraId="262C1223">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Times New Roman" w:hAnsi="Times New Roman" w:cs="Times New Roman"/>
          <w:b w:val="0"/>
          <w:bCs w:val="0"/>
          <w:color w:val="auto"/>
          <w:kern w:val="2"/>
          <w:sz w:val="32"/>
          <w:szCs w:val="32"/>
          <w:u w:val="none"/>
          <w:lang w:val="en-US" w:eastAsia="zh-CN" w:bidi="ar-SA"/>
        </w:rPr>
      </w:pPr>
      <w:r>
        <w:rPr>
          <w:rFonts w:hint="default" w:ascii="Times New Roman" w:hAnsi="Times New Roman" w:cs="Times New Roman"/>
          <w:b w:val="0"/>
          <w:bCs w:val="0"/>
          <w:color w:val="auto"/>
          <w:kern w:val="2"/>
          <w:sz w:val="32"/>
          <w:szCs w:val="32"/>
          <w:u w:val="none"/>
          <w:lang w:val="en-US" w:eastAsia="zh-CN" w:bidi="ar-SA"/>
        </w:rPr>
        <w:t>2、有效期要求：所提供耗材有效期至少在总有效期的2/3以上。</w:t>
      </w:r>
    </w:p>
    <w:p w14:paraId="2F1BC590">
      <w:pPr>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tbl>
      <w:tblPr>
        <w:tblStyle w:val="15"/>
        <w:tblW w:w="14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
        <w:gridCol w:w="2210"/>
        <w:gridCol w:w="1515"/>
        <w:gridCol w:w="810"/>
        <w:gridCol w:w="930"/>
        <w:gridCol w:w="1000"/>
        <w:gridCol w:w="965"/>
        <w:gridCol w:w="720"/>
        <w:gridCol w:w="900"/>
        <w:gridCol w:w="735"/>
        <w:gridCol w:w="870"/>
        <w:gridCol w:w="2955"/>
      </w:tblGrid>
      <w:tr w14:paraId="4F69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082" w:type="dxa"/>
            <w:gridSpan w:val="12"/>
            <w:tcBorders>
              <w:top w:val="nil"/>
              <w:left w:val="nil"/>
              <w:bottom w:val="nil"/>
              <w:right w:val="nil"/>
            </w:tcBorders>
            <w:shd w:val="clear" w:color="auto" w:fill="auto"/>
            <w:vAlign w:val="center"/>
          </w:tcPr>
          <w:p w14:paraId="0059072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附件1：大理州第二人民医院2025年药物基因检测试剂耗材采购项目采购清单</w:t>
            </w:r>
          </w:p>
        </w:tc>
      </w:tr>
      <w:tr w14:paraId="6043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A9F5">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9FB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8FD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764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生产企业</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E56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6BE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预算单价（元）</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F70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预估采购数量</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B7C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下浮率（%）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A3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投标单价(元)</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5A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供货单位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C0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供货单价</w:t>
            </w:r>
            <w:r>
              <w:rPr>
                <w:rStyle w:val="34"/>
                <w:rFonts w:eastAsia="仿宋"/>
                <w:lang w:val="en-US" w:eastAsia="zh-CN" w:bidi="ar"/>
              </w:rPr>
              <w:t>(</w:t>
            </w:r>
            <w:r>
              <w:rPr>
                <w:rFonts w:hint="eastAsia" w:ascii="仿宋" w:hAnsi="仿宋" w:eastAsia="仿宋" w:cs="仿宋"/>
                <w:b/>
                <w:bCs/>
                <w:i w:val="0"/>
                <w:iCs w:val="0"/>
                <w:color w:val="000000"/>
                <w:kern w:val="0"/>
                <w:sz w:val="24"/>
                <w:szCs w:val="24"/>
                <w:u w:val="none"/>
                <w:lang w:val="en-US" w:eastAsia="zh-CN" w:bidi="ar"/>
              </w:rPr>
              <w:t>元</w:t>
            </w:r>
            <w:r>
              <w:rPr>
                <w:rStyle w:val="34"/>
                <w:rFonts w:eastAsia="仿宋"/>
                <w:lang w:val="en-US" w:eastAsia="zh-CN" w:bidi="ar"/>
              </w:rPr>
              <w:t>)</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20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备注（特殊要求）</w:t>
            </w:r>
          </w:p>
        </w:tc>
      </w:tr>
      <w:tr w14:paraId="7D6B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E3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210" w:type="dxa"/>
            <w:tcBorders>
              <w:top w:val="nil"/>
              <w:left w:val="nil"/>
              <w:bottom w:val="nil"/>
              <w:right w:val="nil"/>
            </w:tcBorders>
            <w:shd w:val="clear" w:color="auto" w:fill="auto"/>
            <w:noWrap/>
            <w:vAlign w:val="center"/>
          </w:tcPr>
          <w:p w14:paraId="42E40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测序反应通用试剂盒</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1DB7">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499E">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E239">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000000"/>
                <w:kern w:val="0"/>
                <w:sz w:val="22"/>
                <w:szCs w:val="22"/>
                <w:u w:val="none"/>
                <w:lang w:val="en-US" w:eastAsia="zh-CN" w:bidi="ar"/>
              </w:rPr>
              <w:t>反应</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F7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48.00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1B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310.00 </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A0EEF">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C6AE">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0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7453">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9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5"/>
                <w:rFonts w:ascii="宋体" w:hAnsi="宋体" w:eastAsia="宋体" w:cs="宋体"/>
                <w:i w:val="0"/>
                <w:iCs w:val="0"/>
                <w:color w:val="000000"/>
                <w:lang w:val="en-US" w:eastAsia="zh-CN" w:bidi="ar"/>
              </w:rPr>
              <w:t>包含：CYP2C19、CYP2D6、SLCO1B1和ApoE、FKBP5、HTR1A(1791C&gt;T)、HTR1A(-1019G&gt;C)、CYP2C9、HLA-B*1502、MC4R等基因，</w:t>
            </w:r>
            <w:r>
              <w:rPr>
                <w:rStyle w:val="35"/>
                <w:lang w:val="en-US" w:eastAsia="zh-CN" w:bidi="ar"/>
              </w:rPr>
              <w:t>须保证适用于西安天隆的Gentier96E全自动医用PCR分析仪、上海宏石的SLAN-96S全自动医用PCR分析系统</w:t>
            </w:r>
          </w:p>
        </w:tc>
      </w:tr>
      <w:tr w14:paraId="3BAF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42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A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核酸提取或纯化试剂盒</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E326">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5228">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0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35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10.44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82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160.00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4B7C">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F5D7">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6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243A">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5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适用于西安天隆的GeneRotex96全自动核酸提取仪</w:t>
            </w:r>
          </w:p>
        </w:tc>
      </w:tr>
      <w:tr w14:paraId="6352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E7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2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核酸提取或纯化试剂盒（单人份包装）</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0F88">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7A9D">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C0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6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15.50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67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7A450">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EC43">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F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76F6">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7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适用于西安天隆的GeneRotex96全自动核酸提取仪</w:t>
            </w:r>
          </w:p>
        </w:tc>
      </w:tr>
      <w:tr w14:paraId="6A98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E2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5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全血DNA提取纯化试剂盒</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809E">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D09E">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1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C3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10.44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7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372AC">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B195">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CF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25E1">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7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适用于厦门致善的Lab-Aid896核酸提取仪</w:t>
            </w:r>
          </w:p>
        </w:tc>
      </w:tr>
      <w:tr w14:paraId="29BC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96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9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八联管及八联管盖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998">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212">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53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0.52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E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94BF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FFE3">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F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4D84E">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r>
      <w:tr w14:paraId="2F8A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6A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1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八联管盖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6BA">
            <w:pPr>
              <w:jc w:val="center"/>
              <w:rPr>
                <w:rFonts w:hint="eastAsia" w:ascii="仿宋" w:hAnsi="仿宋" w:eastAsia="仿宋" w:cs="仿宋"/>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DA9B">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0.17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6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F45B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A337">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C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CF31">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r>
      <w:tr w14:paraId="33DF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C4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8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ED7D8">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8E1F">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F822">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5EEF">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F7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4038">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5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无色、灭菌、1000ul/支</w:t>
            </w:r>
          </w:p>
        </w:tc>
      </w:tr>
      <w:tr w14:paraId="2CDD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EF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6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F3CA">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C61">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7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88BF5">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DABB">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0C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67D6">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9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无色、灭菌、200ul/支</w:t>
            </w:r>
          </w:p>
        </w:tc>
      </w:tr>
      <w:tr w14:paraId="61CE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C6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9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0200">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50BB">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4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03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7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6F8B8">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C29C">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0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F6646">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无色、灭菌、20ul/支</w:t>
            </w:r>
          </w:p>
        </w:tc>
      </w:tr>
      <w:tr w14:paraId="0D97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45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6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带滤芯吸头</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0A188">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BAB">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2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C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39B2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AECC">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0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C4E9">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8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无色、灭菌、10/支</w:t>
            </w:r>
          </w:p>
        </w:tc>
      </w:tr>
      <w:tr w14:paraId="5B83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F6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8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尖头离心管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C7E2">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C161">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B2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C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0.13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0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30318">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7646">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7E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8F88">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D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1.5ml/个</w:t>
            </w:r>
          </w:p>
        </w:tc>
      </w:tr>
      <w:tr w14:paraId="021B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456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6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核酸清除剂</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D2DC">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3149">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ml</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6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0.39 </w:t>
            </w: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68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D6C74">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78C4">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C1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1F73">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D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r>
      <w:tr w14:paraId="4D18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D8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封板膜</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24F5">
            <w:pPr>
              <w:jc w:val="center"/>
              <w:rPr>
                <w:rFonts w:hint="default" w:ascii="Times New Roman" w:hAnsi="Times New Roman" w:eastAsia="宋体" w:cs="Times New Roman"/>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DE2A">
            <w:pPr>
              <w:jc w:val="center"/>
              <w:rPr>
                <w:rFonts w:hint="eastAsia" w:ascii="仿宋" w:hAnsi="仿宋" w:eastAsia="仿宋" w:cs="仿宋"/>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1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BE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2.71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1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0.00 </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346EB">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C31D">
            <w:pPr>
              <w:jc w:val="center"/>
              <w:rPr>
                <w:rFonts w:hint="eastAsia" w:ascii="仿宋" w:hAnsi="仿宋" w:eastAsia="仿宋" w:cs="仿宋"/>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9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EBC2">
            <w:pPr>
              <w:jc w:val="center"/>
              <w:rPr>
                <w:rFonts w:hint="default" w:ascii="Times New Roman" w:hAnsi="Times New Roman" w:eastAsia="宋体" w:cs="Times New Roman"/>
                <w:i w:val="0"/>
                <w:iCs w:val="0"/>
                <w:color w:val="000000"/>
                <w:sz w:val="22"/>
                <w:szCs w:val="22"/>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4BB">
            <w:pPr>
              <w:keepNext w:val="0"/>
              <w:keepLines w:val="0"/>
              <w:widowControl/>
              <w:suppressLineNumbers w:val="0"/>
              <w:jc w:val="left"/>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000000"/>
                <w:kern w:val="0"/>
                <w:sz w:val="22"/>
                <w:szCs w:val="22"/>
                <w:u w:val="none"/>
                <w:lang w:val="en-US" w:eastAsia="zh-CN" w:bidi="ar"/>
              </w:rPr>
              <w:t>通用，96孔带字、96孔透明等</w:t>
            </w:r>
          </w:p>
        </w:tc>
      </w:tr>
      <w:tr w14:paraId="5C26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408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3BF2AE7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                                                                                                                                                                        1.参与供货商需按照求填写此表，不得改动表内内容，规格型号、生产企业、下浮率、投标单价、供货单价均为必填项目。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型号按照供货单位来填写，不得更改供货单位，投标单价=预算单价*（1-下浮率%），供货单价（按照供货单价计算）=投标单价*规格型号，例如：投标人下浮率为10%，测序反应通用试剂盒规格型号为：各型基因，25反应/盒，则测序反应通用试剂盒的投标单价=48*（1-10%）=43.20元/反应,供货单价=43.20*25=1080元/盒；核酸清除剂规格型号为：500ml/瓶，则核酸清除剂的投标单价=0.39*（1-10%）=0.351元/ml，供货单价=0.351*500ml=175.50元/瓶；以此类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3、以上13种试剂耗材的下浮率须统一，供货单价小数点后统一保留两位数。                                                                                                          4、采购人提供试剂耗材报价表中预估采购数量（按预算单位统计）仅根据科室现有标本量统计或推算，仅供投标人参考，具体采购数量以今后实际采购数量为准。                                                                            </w:t>
            </w:r>
          </w:p>
          <w:p w14:paraId="4D24B4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采购周期：两年，合同一年一签。在签订第二年合同前，双方须就供货单价重新进行协商谈判，且新签订的供货单价不得高于上一年度供货单价。若在合同履行期间出现上级政策调整（如集采政策发布等情况），则以最新上级政策规定为准，优先遵照执行。</w:t>
            </w:r>
          </w:p>
        </w:tc>
      </w:tr>
    </w:tbl>
    <w:p w14:paraId="54F3CA03">
      <w:pPr>
        <w:ind w:firstLine="640" w:firstLineChars="200"/>
        <w:rPr>
          <w:rFonts w:hint="default" w:ascii="Times New Roman" w:hAnsi="Times New Roman" w:cs="Times New Roman"/>
          <w:lang w:val="en-US" w:eastAsia="zh-CN"/>
        </w:rPr>
      </w:pPr>
    </w:p>
    <w:p w14:paraId="3763D8C9">
      <w:pPr>
        <w:ind w:firstLine="640" w:firstLineChars="200"/>
        <w:rPr>
          <w:rFonts w:hint="default" w:ascii="Times New Roman" w:hAnsi="Times New Roman" w:cs="Times New Roman"/>
          <w:lang w:val="en-US" w:eastAsia="zh-CN"/>
        </w:rPr>
      </w:pPr>
    </w:p>
    <w:p w14:paraId="7A6BAB1C">
      <w:pPr>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6607A823">
      <w:pPr>
        <w:keepNext w:val="0"/>
        <w:keepLines w:val="0"/>
        <w:pageBreakBefore w:val="0"/>
        <w:widowControl w:val="0"/>
        <w:numPr>
          <w:ilvl w:val="0"/>
          <w:numId w:val="8"/>
        </w:numPr>
        <w:kinsoku/>
        <w:wordWrap/>
        <w:overflowPunct/>
        <w:topLinePunct w:val="0"/>
        <w:autoSpaceDE/>
        <w:autoSpaceDN/>
        <w:bidi w:val="0"/>
        <w:adjustRightInd/>
        <w:snapToGrid/>
        <w:spacing w:line="460" w:lineRule="exact"/>
        <w:jc w:val="center"/>
        <w:textAlignment w:val="auto"/>
        <w:outlineLvl w:val="0"/>
        <w:rPr>
          <w:rStyle w:val="23"/>
          <w:rFonts w:hint="default" w:ascii="Times New Roman" w:hAnsi="Times New Roman" w:eastAsia="方正小标宋_GBK" w:cs="Times New Roman"/>
          <w:sz w:val="44"/>
          <w:szCs w:val="44"/>
          <w:lang w:val="en-US" w:eastAsia="zh-CN"/>
        </w:rPr>
      </w:pPr>
      <w:bookmarkStart w:id="174" w:name="_Toc26863"/>
      <w:r>
        <w:rPr>
          <w:rStyle w:val="23"/>
          <w:rFonts w:hint="default" w:ascii="Times New Roman" w:hAnsi="Times New Roman" w:eastAsia="方正小标宋_GBK" w:cs="Times New Roman"/>
          <w:sz w:val="44"/>
          <w:szCs w:val="44"/>
          <w:lang w:val="en-US" w:eastAsia="zh-CN"/>
        </w:rPr>
        <w:t>评审办法</w:t>
      </w:r>
      <w:bookmarkEnd w:id="174"/>
    </w:p>
    <w:p w14:paraId="762AC053">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0"/>
        <w:rPr>
          <w:rStyle w:val="23"/>
          <w:rFonts w:hint="default" w:ascii="Times New Roman" w:hAnsi="Times New Roman" w:eastAsia="方正小标宋_GBK" w:cs="Times New Roman"/>
          <w:sz w:val="44"/>
          <w:szCs w:val="44"/>
          <w:lang w:val="en-US" w:eastAsia="zh-CN"/>
        </w:rPr>
      </w:pPr>
    </w:p>
    <w:p w14:paraId="6E0632EE">
      <w:pPr>
        <w:pStyle w:val="4"/>
        <w:bidi w:val="0"/>
        <w:rPr>
          <w:rFonts w:hint="default" w:ascii="Times New Roman" w:hAnsi="Times New Roman" w:cs="Times New Roman"/>
          <w:color w:val="000000" w:themeColor="text1"/>
          <w:szCs w:val="21"/>
          <w14:textFill>
            <w14:solidFill>
              <w14:schemeClr w14:val="tx1"/>
            </w14:solidFill>
          </w14:textFill>
        </w:rPr>
      </w:pPr>
      <w:bookmarkStart w:id="175" w:name="_Toc17150"/>
      <w:bookmarkStart w:id="176" w:name="_Toc15281"/>
      <w:r>
        <w:rPr>
          <w:rFonts w:hint="default" w:ascii="Times New Roman" w:hAnsi="Times New Roman" w:cs="Times New Roman"/>
          <w:lang w:val="en-US" w:eastAsia="zh-CN"/>
        </w:rPr>
        <w:t>一、</w:t>
      </w:r>
      <w:r>
        <w:rPr>
          <w:rFonts w:hint="default" w:ascii="Times New Roman" w:hAnsi="Times New Roman" w:cs="Times New Roman"/>
        </w:rPr>
        <w:t>资格审查</w:t>
      </w:r>
      <w:bookmarkEnd w:id="175"/>
      <w:bookmarkEnd w:id="176"/>
    </w:p>
    <w:tbl>
      <w:tblPr>
        <w:tblStyle w:val="15"/>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60"/>
        <w:gridCol w:w="8522"/>
      </w:tblGrid>
      <w:tr w14:paraId="1F22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noWrap/>
            <w:vAlign w:val="center"/>
          </w:tcPr>
          <w:p w14:paraId="1C747682">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14:paraId="6C703E65">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14:paraId="7C11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blHeader/>
          <w:jc w:val="center"/>
        </w:trPr>
        <w:tc>
          <w:tcPr>
            <w:tcW w:w="955" w:type="dxa"/>
            <w:vMerge w:val="restart"/>
            <w:noWrap/>
            <w:vAlign w:val="center"/>
          </w:tcPr>
          <w:p w14:paraId="607A37F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560" w:type="dxa"/>
            <w:noWrap/>
            <w:vAlign w:val="center"/>
          </w:tcPr>
          <w:p w14:paraId="2530E73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522" w:type="dxa"/>
            <w:noWrap/>
            <w:vAlign w:val="center"/>
          </w:tcPr>
          <w:p w14:paraId="192FCBD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eastAsia="方正仿宋_GBK" w:cs="Times New Roman"/>
                <w:b/>
                <w:color w:val="000000" w:themeColor="text1"/>
                <w:sz w:val="32"/>
                <w:szCs w:val="32"/>
                <w:lang w:val="en-US"/>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提供营业执照扫描件并加盖公章</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12-1要求</w:t>
            </w:r>
          </w:p>
        </w:tc>
      </w:tr>
      <w:tr w14:paraId="72CF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955" w:type="dxa"/>
            <w:vMerge w:val="continue"/>
            <w:noWrap/>
            <w:vAlign w:val="center"/>
          </w:tcPr>
          <w:p w14:paraId="6D1513B4">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75320B9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522" w:type="dxa"/>
            <w:noWrap/>
            <w:vAlign w:val="center"/>
          </w:tcPr>
          <w:p w14:paraId="1B638A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有依法缴纳税收的良好记录</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2</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49B2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042A712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1CFB0C8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522" w:type="dxa"/>
            <w:noWrap/>
            <w:vAlign w:val="center"/>
          </w:tcPr>
          <w:p w14:paraId="1DFBCD79">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有依法缴纳社会保障资金的良好记录。详见格式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733A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0AF1304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6E57801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w:t>
            </w:r>
          </w:p>
        </w:tc>
        <w:tc>
          <w:tcPr>
            <w:tcW w:w="8522" w:type="dxa"/>
            <w:noWrap/>
            <w:vAlign w:val="center"/>
          </w:tcPr>
          <w:p w14:paraId="330A5B00">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特定资格要求。详见格式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08A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452267C2">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5BB4C5D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522" w:type="dxa"/>
            <w:noWrap/>
            <w:vAlign w:val="center"/>
          </w:tcPr>
          <w:p w14:paraId="76CB3D41">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信誉要求</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646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5AA9C07F">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3C76583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522" w:type="dxa"/>
            <w:noWrap/>
            <w:vAlign w:val="center"/>
          </w:tcPr>
          <w:p w14:paraId="20CF61A0">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提供参加政府采购活动前三年内在经营活动中没有重大违法记录的书面声明函即可（格式自拟）</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12-6要求</w:t>
            </w:r>
          </w:p>
        </w:tc>
      </w:tr>
      <w:tr w14:paraId="7990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5" w:type="dxa"/>
            <w:vMerge w:val="continue"/>
            <w:noWrap/>
            <w:vAlign w:val="center"/>
          </w:tcPr>
          <w:p w14:paraId="41E3EA7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560" w:type="dxa"/>
            <w:noWrap/>
            <w:vAlign w:val="center"/>
          </w:tcPr>
          <w:p w14:paraId="3171401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7</w:t>
            </w:r>
          </w:p>
        </w:tc>
        <w:tc>
          <w:tcPr>
            <w:tcW w:w="8522" w:type="dxa"/>
            <w:noWrap/>
            <w:vAlign w:val="center"/>
          </w:tcPr>
          <w:p w14:paraId="0134DBFB">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提供“证明材料或书面声明函</w:t>
            </w:r>
            <w:r>
              <w:rPr>
                <w:rFonts w:hint="default" w:ascii="Times New Roman" w:hAnsi="Times New Roman" w:cs="Times New Roman"/>
                <w:b w:val="0"/>
                <w:bCs w:val="0"/>
                <w:color w:val="auto"/>
                <w:kern w:val="2"/>
                <w:sz w:val="32"/>
                <w:szCs w:val="32"/>
                <w:u w:val="none" w:color="auto"/>
                <w:lang w:val="en-US" w:eastAsia="zh-CN" w:bidi="ar-SA"/>
              </w:rPr>
              <w:t>即可</w:t>
            </w:r>
            <w:r>
              <w:rPr>
                <w:rFonts w:hint="default" w:ascii="Times New Roman" w:hAnsi="Times New Roman" w:eastAsia="方正仿宋_GBK" w:cs="Times New Roman"/>
                <w:b w:val="0"/>
                <w:bCs w:val="0"/>
                <w:color w:val="auto"/>
                <w:kern w:val="2"/>
                <w:sz w:val="32"/>
                <w:szCs w:val="32"/>
                <w:u w:val="none" w:color="auto"/>
                <w:lang w:val="en-US" w:eastAsia="zh-CN" w:bidi="ar-SA"/>
              </w:rPr>
              <w:t>（格式自拟）详见格式</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12-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要求</w:t>
            </w:r>
          </w:p>
        </w:tc>
      </w:tr>
      <w:tr w14:paraId="3FEA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55" w:type="dxa"/>
            <w:vMerge w:val="continue"/>
            <w:noWrap/>
            <w:vAlign w:val="center"/>
          </w:tcPr>
          <w:p w14:paraId="155DB38D">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14:paraId="0C124A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w:t>
            </w:r>
            <w:r>
              <w:rPr>
                <w:rFonts w:hint="default" w:ascii="Times New Roman" w:hAnsi="Times New Roman" w:cs="Times New Roman"/>
                <w:b/>
                <w:bCs/>
                <w:color w:val="auto"/>
                <w:kern w:val="2"/>
                <w:sz w:val="32"/>
                <w:szCs w:val="32"/>
                <w:u w:val="none" w:color="auto"/>
                <w:lang w:val="en-US" w:eastAsia="zh-CN" w:bidi="ar-SA"/>
              </w:rPr>
              <w:t>供应商未按资格要求提供材料</w:t>
            </w:r>
            <w:r>
              <w:rPr>
                <w:rFonts w:hint="default" w:ascii="Times New Roman" w:hAnsi="Times New Roman" w:eastAsia="方正仿宋_GBK" w:cs="Times New Roman"/>
                <w:b/>
                <w:bCs/>
                <w:color w:val="auto"/>
                <w:kern w:val="2"/>
                <w:sz w:val="32"/>
                <w:szCs w:val="32"/>
                <w:u w:val="none" w:color="auto"/>
                <w:lang w:val="en-US" w:eastAsia="zh-CN" w:bidi="ar-SA"/>
              </w:rPr>
              <w:t>的视为资格不通过。</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为了满足以上条件虚报材料，一经查实，该询价响应文件将作为无效标处理。</w:t>
            </w:r>
          </w:p>
        </w:tc>
      </w:tr>
    </w:tbl>
    <w:p w14:paraId="3FE40A10">
      <w:pPr>
        <w:rPr>
          <w:rFonts w:hint="default" w:ascii="Times New Roman" w:hAnsi="Times New Roman" w:eastAsia="方正仿宋_GBK" w:cs="Times New Roman"/>
          <w:color w:val="000000" w:themeColor="text1"/>
          <w:sz w:val="32"/>
          <w:szCs w:val="32"/>
          <w14:textFill>
            <w14:solidFill>
              <w14:schemeClr w14:val="tx1"/>
            </w14:solidFill>
          </w14:textFill>
        </w:rPr>
      </w:pPr>
    </w:p>
    <w:p w14:paraId="48130BBD">
      <w:pPr>
        <w:pStyle w:val="4"/>
        <w:bidi w:val="0"/>
        <w:rPr>
          <w:rFonts w:hint="default" w:ascii="Times New Roman" w:hAnsi="Times New Roman" w:cs="Times New Roman"/>
        </w:rPr>
      </w:pPr>
      <w:bookmarkStart w:id="177" w:name="_Toc19865"/>
      <w:bookmarkStart w:id="178" w:name="_Toc5382"/>
      <w:r>
        <w:rPr>
          <w:rFonts w:hint="default" w:ascii="Times New Roman" w:hAnsi="Times New Roman" w:cs="Times New Roman"/>
          <w:lang w:val="en-US" w:eastAsia="zh-CN"/>
        </w:rPr>
        <w:t>二、</w:t>
      </w:r>
      <w:r>
        <w:rPr>
          <w:rFonts w:hint="default" w:ascii="Times New Roman" w:hAnsi="Times New Roman" w:cs="Times New Roman"/>
        </w:rPr>
        <w:t>符合性评审</w:t>
      </w:r>
      <w:bookmarkEnd w:id="177"/>
      <w:bookmarkEnd w:id="178"/>
    </w:p>
    <w:tbl>
      <w:tblPr>
        <w:tblStyle w:val="15"/>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14:paraId="6E17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blHeader/>
        </w:trPr>
        <w:tc>
          <w:tcPr>
            <w:tcW w:w="1179" w:type="dxa"/>
            <w:vAlign w:val="center"/>
          </w:tcPr>
          <w:p w14:paraId="23C3F85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14:paraId="4EF6CBB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14:paraId="0EC1BE1A">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14:paraId="5CBA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79" w:type="dxa"/>
            <w:vMerge w:val="restart"/>
            <w:vAlign w:val="center"/>
          </w:tcPr>
          <w:p w14:paraId="0035109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14:paraId="1FDD7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14:paraId="2ED6C8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23CF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79" w:type="dxa"/>
            <w:vMerge w:val="continue"/>
            <w:vAlign w:val="center"/>
          </w:tcPr>
          <w:p w14:paraId="0242631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3FF69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14:paraId="607326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45E4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179" w:type="dxa"/>
            <w:vMerge w:val="continue"/>
            <w:vAlign w:val="center"/>
          </w:tcPr>
          <w:p w14:paraId="190A4528">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72AEB62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14:paraId="49B5748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31AD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1179" w:type="dxa"/>
            <w:vMerge w:val="continue"/>
            <w:vAlign w:val="center"/>
          </w:tcPr>
          <w:p w14:paraId="1B6B5C5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0B4E3DF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r>
              <w:rPr>
                <w:rFonts w:hint="default" w:ascii="Times New Roman" w:hAnsi="Times New Roman" w:cs="Times New Roman"/>
                <w:color w:val="000000" w:themeColor="text1"/>
                <w:sz w:val="32"/>
                <w:szCs w:val="32"/>
                <w:lang w:val="en-US" w:eastAsia="zh-CN"/>
                <w14:textFill>
                  <w14:solidFill>
                    <w14:schemeClr w14:val="tx1"/>
                  </w14:solidFill>
                </w14:textFill>
              </w:rPr>
              <w:t>情形</w:t>
            </w:r>
          </w:p>
        </w:tc>
        <w:tc>
          <w:tcPr>
            <w:tcW w:w="6234" w:type="dxa"/>
            <w:vAlign w:val="center"/>
          </w:tcPr>
          <w:p w14:paraId="71802F92">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详见</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第二章“供应商须知前附表” 第</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的内容</w:t>
            </w:r>
          </w:p>
        </w:tc>
      </w:tr>
      <w:tr w14:paraId="1C2A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179" w:type="dxa"/>
            <w:vMerge w:val="continue"/>
            <w:vAlign w:val="center"/>
          </w:tcPr>
          <w:p w14:paraId="4ECA627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14:paraId="2F61DF94">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14:paraId="79160F7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0CE8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9" w:type="dxa"/>
            <w:vMerge w:val="continue"/>
            <w:vAlign w:val="center"/>
          </w:tcPr>
          <w:p w14:paraId="1FD087AB">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restart"/>
            <w:vAlign w:val="center"/>
          </w:tcPr>
          <w:p w14:paraId="7E40667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其它实质性条件</w:t>
            </w:r>
          </w:p>
        </w:tc>
        <w:tc>
          <w:tcPr>
            <w:tcW w:w="6234" w:type="dxa"/>
            <w:vAlign w:val="center"/>
          </w:tcPr>
          <w:p w14:paraId="02ECA3A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关键内容字迹潦草、表达不清、未按要求填写而导致非唯一理解的，无盖章并无法定代表人或其委托代理人签字或盖章的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0F0D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exact"/>
        </w:trPr>
        <w:tc>
          <w:tcPr>
            <w:tcW w:w="1179" w:type="dxa"/>
            <w:vMerge w:val="continue"/>
            <w:vAlign w:val="center"/>
          </w:tcPr>
          <w:p w14:paraId="3B6B5B6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2E1B1D4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36C731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响应文件如果出现计算或表达上的错误，供应商不接受按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第六章《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w:t>
            </w:r>
            <w:r>
              <w:rPr>
                <w:rFonts w:hint="default" w:ascii="Times New Roman" w:hAnsi="Times New Roman" w:cs="Times New Roman"/>
                <w:color w:val="000000" w:themeColor="text1"/>
                <w:sz w:val="32"/>
                <w:szCs w:val="32"/>
                <w:lang w:val="en-US" w:eastAsia="zh-CN"/>
                <w14:textFill>
                  <w14:solidFill>
                    <w14:schemeClr w14:val="tx1"/>
                  </w14:solidFill>
                </w14:textFill>
              </w:rPr>
              <w:t>审办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详细评审</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第1条款规定的原则进行修正的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14:paraId="6C2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179" w:type="dxa"/>
            <w:vMerge w:val="continue"/>
            <w:vAlign w:val="center"/>
          </w:tcPr>
          <w:p w14:paraId="16C4ED2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09217B8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79518D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17种携带样品不符合</w:t>
            </w:r>
            <w:r>
              <w:rPr>
                <w:rFonts w:hint="eastAsia" w:ascii="Times New Roman" w:hAnsi="Times New Roman" w:cs="Times New Roman"/>
                <w:color w:val="000000" w:themeColor="text1"/>
                <w:sz w:val="32"/>
                <w:szCs w:val="32"/>
                <w:lang w:val="en-US" w:eastAsia="zh-CN"/>
                <w14:textFill>
                  <w14:solidFill>
                    <w14:schemeClr w14:val="tx1"/>
                  </w14:solidFill>
                </w14:textFill>
              </w:rPr>
              <w:t>质量</w:t>
            </w:r>
            <w:r>
              <w:rPr>
                <w:rFonts w:hint="default" w:ascii="Times New Roman" w:hAnsi="Times New Roman" w:cs="Times New Roman"/>
                <w:color w:val="000000" w:themeColor="text1"/>
                <w:sz w:val="32"/>
                <w:szCs w:val="32"/>
                <w:lang w:val="en-US" w:eastAsia="zh-CN"/>
                <w14:textFill>
                  <w14:solidFill>
                    <w14:schemeClr w14:val="tx1"/>
                  </w14:solidFill>
                </w14:textFill>
              </w:rPr>
              <w:t>要求的</w:t>
            </w:r>
            <w:r>
              <w:rPr>
                <w:rFonts w:hint="default" w:ascii="Times New Roman" w:hAnsi="Times New Roman" w:eastAsia="方正仿宋_GBK" w:cs="Times New Roman"/>
                <w:color w:val="000000" w:themeColor="text1"/>
                <w:sz w:val="32"/>
                <w:szCs w:val="32"/>
                <w14:textFill>
                  <w14:solidFill>
                    <w14:schemeClr w14:val="tx1"/>
                  </w14:solidFill>
                </w14:textFill>
              </w:rPr>
              <w:t>。</w:t>
            </w:r>
          </w:p>
        </w:tc>
      </w:tr>
      <w:tr w14:paraId="7FB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1179" w:type="dxa"/>
            <w:vMerge w:val="continue"/>
            <w:vAlign w:val="center"/>
          </w:tcPr>
          <w:p w14:paraId="54998F9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Merge w:val="continue"/>
            <w:vAlign w:val="center"/>
          </w:tcPr>
          <w:p w14:paraId="26B756A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234" w:type="dxa"/>
            <w:vAlign w:val="center"/>
          </w:tcPr>
          <w:p w14:paraId="3B0DD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投标文件含有采购人不能接受的附加条件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14:paraId="5BE5C79C">
      <w:pPr>
        <w:pStyle w:val="4"/>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方正仿宋_GBK" w:cs="Times New Roman"/>
          <w:sz w:val="32"/>
          <w:szCs w:val="32"/>
        </w:rPr>
      </w:pPr>
      <w:bookmarkStart w:id="179" w:name="_Toc29119"/>
    </w:p>
    <w:p w14:paraId="0F6A0A04">
      <w:pPr>
        <w:pStyle w:val="4"/>
        <w:bidi w:val="0"/>
        <w:ind w:firstLine="643" w:firstLineChars="200"/>
        <w:rPr>
          <w:rFonts w:hint="default" w:ascii="Times New Roman" w:hAnsi="Times New Roman" w:cs="Times New Roman"/>
        </w:rPr>
      </w:pPr>
      <w:bookmarkStart w:id="180" w:name="_Toc18914"/>
      <w:r>
        <w:rPr>
          <w:rFonts w:hint="default" w:ascii="Times New Roman" w:hAnsi="Times New Roman" w:cs="Times New Roman"/>
          <w:lang w:val="en-US" w:eastAsia="zh-CN"/>
        </w:rPr>
        <w:t>三、</w:t>
      </w:r>
      <w:r>
        <w:rPr>
          <w:rFonts w:hint="default" w:ascii="Times New Roman" w:hAnsi="Times New Roman" w:cs="Times New Roman"/>
        </w:rPr>
        <w:t>详细评审</w:t>
      </w:r>
      <w:bookmarkEnd w:id="179"/>
      <w:bookmarkEnd w:id="180"/>
    </w:p>
    <w:p w14:paraId="6D06E514">
      <w:pPr>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1.</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响应文件的修正</w:t>
      </w:r>
    </w:p>
    <w:p w14:paraId="7FE830F7">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小组</w:t>
      </w:r>
      <w:r>
        <w:rPr>
          <w:rFonts w:hint="default" w:ascii="Times New Roman" w:hAnsi="Times New Roman" w:eastAsia="方正仿宋_GBK" w:cs="Times New Roman"/>
          <w:color w:val="000000" w:themeColor="text1"/>
          <w:sz w:val="32"/>
          <w:szCs w:val="32"/>
          <w14:textFill>
            <w14:solidFill>
              <w14:schemeClr w14:val="tx1"/>
            </w14:solidFill>
          </w14:textFill>
        </w:rPr>
        <w:t>将对确定为实质上响应的投标进行审核，看其是否有计算上和累加上的算术错误，修正错误的原则如下：</w:t>
      </w:r>
    </w:p>
    <w:p w14:paraId="01B8FDF3">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(1)投标文件中《开标一览表》内容与投标文件中相应内容不一致的，以《开标一览表》为准</w:t>
      </w:r>
      <w:r>
        <w:rPr>
          <w:rFonts w:hint="default" w:ascii="Times New Roman" w:hAnsi="Times New Roman" w:cs="Times New Roman"/>
          <w:color w:val="000000" w:themeColor="text1"/>
          <w:sz w:val="32"/>
          <w:szCs w:val="32"/>
          <w:lang w:val="en-US" w:eastAsia="zh-CN"/>
          <w14:textFill>
            <w14:solidFill>
              <w14:schemeClr w14:val="tx1"/>
            </w14:solidFill>
          </w14:textFill>
        </w:rPr>
        <w:t>。</w:t>
      </w:r>
    </w:p>
    <w:p w14:paraId="5C28F845">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)如果用数字表示的金额和用文字表示的金额不一致，应以文字表示的金额为准。</w:t>
      </w:r>
    </w:p>
    <w:p w14:paraId="7E374AA2">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(3)当单价与数量的乘积和总价不一致时，以单价为准，并修正总价。</w:t>
      </w:r>
    </w:p>
    <w:p w14:paraId="57CD3E1A">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(4)大写金额和小写金额不一致的，以大写金额为准。</w:t>
      </w:r>
    </w:p>
    <w:p w14:paraId="4A3608FB">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(5)单价金额小数点或者百分比有明显错位的，以开标一览表的总价为准，并修改单价。</w:t>
      </w:r>
    </w:p>
    <w:p w14:paraId="516D8F3E">
      <w:pPr>
        <w:pStyle w:val="2"/>
        <w:keepNext w:val="0"/>
        <w:keepLines w:val="0"/>
        <w:pageBreakBefore w:val="0"/>
        <w:widowControl w:val="0"/>
        <w:kinsoku/>
        <w:wordWrap/>
        <w:overflowPunct/>
        <w:topLinePunct w:val="0"/>
        <w:autoSpaceDE/>
        <w:autoSpaceDN/>
        <w:bidi w:val="0"/>
        <w:adjustRightInd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同时出现两种以上不一致的，按照前款规定的顺序修正。修正后的报价经投标人确认后产生约束力，投标人不确认的，其投标无效。</w:t>
      </w:r>
    </w:p>
    <w:p w14:paraId="0878A368">
      <w:pPr>
        <w:pStyle w:val="2"/>
        <w:pageBreakBefore w:val="0"/>
        <w:widowControl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1.2.评委将按上述修正错误的方法调整投标书中的投标报价，调整后的价格应对供应商具有约束力。如果供应商不接受修正后的价格，则其投标将被拒绝。</w:t>
      </w:r>
    </w:p>
    <w:p w14:paraId="007781B0">
      <w:pPr>
        <w:pageBreakBefore w:val="0"/>
        <w:widowControl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2.询价程序</w:t>
      </w:r>
    </w:p>
    <w:p w14:paraId="08BB553D">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评标只对有效</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响应文件进行评审。评标按：资格审查→符合性评审→详细评审→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评标报告的程序进行。</w:t>
      </w:r>
    </w:p>
    <w:p w14:paraId="01CC203A">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3.询价内容</w:t>
      </w:r>
    </w:p>
    <w:p w14:paraId="607E954B">
      <w:pPr>
        <w:pStyle w:val="2"/>
        <w:pageBreakBefore w:val="0"/>
        <w:widowControl w:val="0"/>
        <w:numPr>
          <w:ilvl w:val="0"/>
          <w:numId w:val="0"/>
        </w:numPr>
        <w:kinsoku/>
        <w:wordWrap/>
        <w:overflowPunct/>
        <w:topLinePunct w:val="0"/>
        <w:autoSpaceDE/>
        <w:autoSpaceDN/>
        <w:bidi w:val="0"/>
        <w:snapToGrid/>
        <w:spacing w:line="460" w:lineRule="exact"/>
        <w:ind w:firstLine="480"/>
        <w:textAlignment w:val="auto"/>
        <w:rPr>
          <w:rFonts w:hint="default" w:ascii="Times New Roman" w:hAnsi="Times New Roman" w:eastAsia="方正仿宋_GBK" w:cs="Times New Roman"/>
          <w:sz w:val="32"/>
          <w:szCs w:val="32"/>
          <w:lang w:val="en-US" w:eastAsia="zh-CN"/>
        </w:rPr>
      </w:pPr>
      <w:bookmarkStart w:id="181" w:name="_Toc28025_WPSOffice_Level2"/>
      <w:r>
        <w:rPr>
          <w:rFonts w:hint="default" w:ascii="Times New Roman" w:hAnsi="Times New Roman" w:eastAsia="方正仿宋_GBK" w:cs="Times New Roman"/>
          <w:sz w:val="32"/>
          <w:szCs w:val="32"/>
          <w:lang w:val="en-US" w:eastAsia="zh-CN"/>
        </w:rPr>
        <w:t>技术参数、服务及价格等。</w:t>
      </w:r>
      <w:bookmarkEnd w:id="181"/>
    </w:p>
    <w:p w14:paraId="50E4DEEF">
      <w:pPr>
        <w:pageBreakBefore w:val="0"/>
        <w:widowControl w:val="0"/>
        <w:numPr>
          <w:ilvl w:val="0"/>
          <w:numId w:val="0"/>
        </w:numPr>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color w:val="000000" w:themeColor="text1"/>
          <w:kern w:val="2"/>
          <w:sz w:val="32"/>
          <w:szCs w:val="32"/>
          <w:lang w:val="en-US" w:eastAsia="zh-CN" w:bidi="ar-SA"/>
          <w14:textFill>
            <w14:solidFill>
              <w14:schemeClr w14:val="tx1"/>
            </w14:solidFill>
          </w14:textFill>
        </w:rPr>
        <w:t>4.评定成交的标准</w:t>
      </w:r>
    </w:p>
    <w:p w14:paraId="1ADA0BEB">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询价小组应当从质量和服务均能满足采购文件实质性响应要求的供应商中，按照</w:t>
      </w:r>
      <w:r>
        <w:rPr>
          <w:rFonts w:hint="eastAsia" w:ascii="Times New Roman" w:hAnsi="Times New Roman" w:cs="Times New Roman"/>
          <w:sz w:val="32"/>
          <w:szCs w:val="32"/>
          <w:lang w:val="en-US" w:eastAsia="zh-CN"/>
        </w:rPr>
        <w:t>统一下浮率</w:t>
      </w:r>
      <w:r>
        <w:rPr>
          <w:rFonts w:hint="default" w:ascii="Times New Roman" w:hAnsi="Times New Roman" w:eastAsia="方正仿宋_GBK" w:cs="Times New Roman"/>
          <w:sz w:val="32"/>
          <w:szCs w:val="32"/>
        </w:rPr>
        <w:t>由</w:t>
      </w:r>
      <w:r>
        <w:rPr>
          <w:rFonts w:hint="eastAsia" w:ascii="Times New Roman" w:hAnsi="Times New Roman" w:cs="Times New Roman"/>
          <w:sz w:val="32"/>
          <w:szCs w:val="32"/>
          <w:lang w:val="en-US" w:eastAsia="zh-CN"/>
        </w:rPr>
        <w:t>高</w:t>
      </w:r>
      <w:r>
        <w:rPr>
          <w:rFonts w:hint="default" w:ascii="Times New Roman" w:hAnsi="Times New Roman" w:eastAsia="方正仿宋_GBK" w:cs="Times New Roman"/>
          <w:sz w:val="32"/>
          <w:szCs w:val="32"/>
        </w:rPr>
        <w:t>到</w:t>
      </w:r>
      <w:r>
        <w:rPr>
          <w:rFonts w:hint="eastAsia" w:ascii="Times New Roman" w:hAnsi="Times New Roman" w:cs="Times New Roman"/>
          <w:sz w:val="32"/>
          <w:szCs w:val="32"/>
          <w:lang w:val="en-US" w:eastAsia="zh-CN"/>
        </w:rPr>
        <w:t>低</w:t>
      </w:r>
      <w:r>
        <w:rPr>
          <w:rFonts w:hint="default" w:ascii="Times New Roman" w:hAnsi="Times New Roman" w:eastAsia="方正仿宋_GBK" w:cs="Times New Roman"/>
          <w:sz w:val="32"/>
          <w:szCs w:val="32"/>
        </w:rPr>
        <w:t>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报价相同的采取抽签顺序决定排名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，并编写评审报告。</w:t>
      </w:r>
    </w:p>
    <w:p w14:paraId="72660DA9">
      <w:pPr>
        <w:spacing w:line="360" w:lineRule="auto"/>
        <w:ind w:firstLine="640" w:firstLineChars="200"/>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14:paraId="303FBC2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sz w:val="32"/>
          <w:szCs w:val="32"/>
          <w:lang w:val="en-US" w:eastAsia="zh-CN"/>
        </w:rPr>
        <w:t>大理州第二人民医院2025年药物基因检测试剂耗材采购项目</w:t>
      </w:r>
      <w:r>
        <w:rPr>
          <w:rFonts w:hint="default" w:ascii="Times New Roman" w:hAnsi="Times New Roman" w:eastAsia="方正仿宋_GBK" w:cs="Times New Roman"/>
          <w:sz w:val="32"/>
          <w:szCs w:val="32"/>
          <w:lang w:val="en-US" w:eastAsia="zh-CN"/>
        </w:rPr>
        <w:t>供应商报名表</w:t>
      </w:r>
    </w:p>
    <w:tbl>
      <w:tblPr>
        <w:tblStyle w:val="16"/>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14:paraId="088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14:paraId="05AD0FD2">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14:paraId="53E62BC9">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14:paraId="67B81441">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14:paraId="420A0554">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14:paraId="60DF8B92">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14:paraId="238C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14:paraId="2715688E">
            <w:pPr>
              <w:rPr>
                <w:rFonts w:hint="default" w:ascii="Times New Roman" w:hAnsi="Times New Roman" w:eastAsia="方正仿宋_GBK" w:cs="Times New Roman"/>
                <w:sz w:val="32"/>
                <w:szCs w:val="32"/>
                <w:vertAlign w:val="baseline"/>
                <w:lang w:val="en-US" w:eastAsia="zh-CN"/>
              </w:rPr>
            </w:pPr>
          </w:p>
        </w:tc>
        <w:tc>
          <w:tcPr>
            <w:tcW w:w="2932" w:type="dxa"/>
          </w:tcPr>
          <w:p w14:paraId="6EC0C58E">
            <w:pPr>
              <w:rPr>
                <w:rFonts w:hint="default" w:ascii="Times New Roman" w:hAnsi="Times New Roman" w:eastAsia="方正仿宋_GBK" w:cs="Times New Roman"/>
                <w:sz w:val="32"/>
                <w:szCs w:val="32"/>
                <w:vertAlign w:val="baseline"/>
                <w:lang w:val="en-US" w:eastAsia="zh-CN"/>
              </w:rPr>
            </w:pPr>
          </w:p>
        </w:tc>
        <w:tc>
          <w:tcPr>
            <w:tcW w:w="2686" w:type="dxa"/>
          </w:tcPr>
          <w:p w14:paraId="070BBBBB">
            <w:pPr>
              <w:rPr>
                <w:rFonts w:hint="default" w:ascii="Times New Roman" w:hAnsi="Times New Roman" w:eastAsia="方正仿宋_GBK" w:cs="Times New Roman"/>
                <w:sz w:val="32"/>
                <w:szCs w:val="32"/>
                <w:vertAlign w:val="baseline"/>
                <w:lang w:val="en-US" w:eastAsia="zh-CN"/>
              </w:rPr>
            </w:pPr>
          </w:p>
        </w:tc>
        <w:tc>
          <w:tcPr>
            <w:tcW w:w="1827" w:type="dxa"/>
          </w:tcPr>
          <w:p w14:paraId="56C06AE3">
            <w:pPr>
              <w:rPr>
                <w:rFonts w:hint="default" w:ascii="Times New Roman" w:hAnsi="Times New Roman" w:eastAsia="方正仿宋_GBK" w:cs="Times New Roman"/>
                <w:sz w:val="32"/>
                <w:szCs w:val="32"/>
                <w:vertAlign w:val="baseline"/>
                <w:lang w:val="en-US" w:eastAsia="zh-CN"/>
              </w:rPr>
            </w:pPr>
          </w:p>
        </w:tc>
        <w:tc>
          <w:tcPr>
            <w:tcW w:w="2359" w:type="dxa"/>
          </w:tcPr>
          <w:p w14:paraId="56C54EE9">
            <w:pPr>
              <w:rPr>
                <w:rFonts w:hint="default" w:ascii="Times New Roman" w:hAnsi="Times New Roman" w:eastAsia="方正仿宋_GBK" w:cs="Times New Roman"/>
                <w:sz w:val="32"/>
                <w:szCs w:val="32"/>
                <w:vertAlign w:val="baseline"/>
                <w:lang w:val="en-US" w:eastAsia="zh-CN"/>
              </w:rPr>
            </w:pPr>
          </w:p>
        </w:tc>
      </w:tr>
    </w:tbl>
    <w:p w14:paraId="09BDC0E0">
      <w:pPr>
        <w:rPr>
          <w:rFonts w:hint="default" w:ascii="Times New Roman" w:hAnsi="Times New Roman" w:eastAsia="方正仿宋_GBK" w:cs="Times New Roman"/>
          <w:sz w:val="32"/>
          <w:szCs w:val="32"/>
          <w:lang w:val="en-US" w:eastAsia="zh-CN"/>
        </w:rPr>
      </w:pPr>
    </w:p>
    <w:p w14:paraId="64F0FFE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14:paraId="1BC712AB">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14:paraId="753E73A2">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14:paraId="17AD771B">
      <w:pPr>
        <w:rPr>
          <w:rFonts w:hint="default" w:ascii="Times New Roman" w:hAnsi="Times New Roman" w:eastAsia="方正仿宋_GBK" w:cs="Times New Roman"/>
          <w:sz w:val="32"/>
          <w:szCs w:val="32"/>
          <w:lang w:val="en-US" w:eastAsia="zh-CN"/>
        </w:rPr>
      </w:pPr>
    </w:p>
    <w:p w14:paraId="6A830AC5">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618C0947-A683-4E2C-B5DB-31FE5E5FADF5}"/>
  </w:font>
  <w:font w:name="方正黑体_GBK">
    <w:panose1 w:val="02000000000000000000"/>
    <w:charset w:val="86"/>
    <w:family w:val="auto"/>
    <w:pitch w:val="default"/>
    <w:sig w:usb0="00000001" w:usb1="080E0000" w:usb2="00000000" w:usb3="00000000" w:csb0="00040000" w:csb1="00000000"/>
    <w:embedRegular r:id="rId2" w:fontKey="{B197F481-F302-4686-B9F2-D6BA31238E55}"/>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3" w:fontKey="{9D313DE7-89BB-4333-A22B-41BE3054619C}"/>
  </w:font>
  <w:font w:name="仿宋">
    <w:panose1 w:val="02010609060101010101"/>
    <w:charset w:val="86"/>
    <w:family w:val="modern"/>
    <w:pitch w:val="default"/>
    <w:sig w:usb0="800002BF" w:usb1="38CF7CFA" w:usb2="00000016" w:usb3="00000000" w:csb0="00040001" w:csb1="00000000"/>
    <w:embedRegular r:id="rId4" w:fontKey="{AD14FB30-5B8B-4193-9860-3BC70CEE7F6B}"/>
  </w:font>
  <w:font w:name="仿宋_GB2312">
    <w:panose1 w:val="02010609030101010101"/>
    <w:charset w:val="86"/>
    <w:family w:val="auto"/>
    <w:pitch w:val="default"/>
    <w:sig w:usb0="00000001" w:usb1="080E0000" w:usb2="00000000" w:usb3="00000000" w:csb0="00040000" w:csb1="00000000"/>
    <w:embedRegular r:id="rId5" w:fontKey="{687656F5-528A-4919-BC01-99A5B6EEC9B7}"/>
  </w:font>
  <w:font w:name="Wingdings 2">
    <w:panose1 w:val="05020102010507070707"/>
    <w:charset w:val="00"/>
    <w:family w:val="auto"/>
    <w:pitch w:val="default"/>
    <w:sig w:usb0="00000000" w:usb1="00000000" w:usb2="00000000" w:usb3="00000000" w:csb0="80000000" w:csb1="00000000"/>
    <w:embedRegular r:id="rId6" w:fontKey="{B1F150D9-43CF-4D13-95A1-98970DB648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1E3B">
    <w:pPr>
      <w:pStyle w:val="11"/>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5C0F">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D65C0F">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58C6B">
    <w:pPr>
      <w:keepNext w:val="0"/>
      <w:keepLines w:val="0"/>
      <w:pageBreakBefore w:val="0"/>
      <w:kinsoku/>
      <w:wordWrap/>
      <w:overflowPunct/>
      <w:topLinePunct w:val="0"/>
      <w:autoSpaceDE/>
      <w:autoSpaceDN/>
      <w:bidi w:val="0"/>
      <w:spacing w:line="460" w:lineRule="exact"/>
      <w:jc w:val="center"/>
      <w:textAlignment w:val="auto"/>
      <w:rPr>
        <w:rFonts w:hint="default"/>
        <w:sz w:val="21"/>
        <w:szCs w:val="21"/>
        <w:lang w:val="en-US" w:eastAsia="zh-CN"/>
      </w:rPr>
    </w:pPr>
    <w:r>
      <w:rPr>
        <w:rFonts w:hint="eastAsia" w:ascii="方正仿宋_GBK" w:hAnsi="方正仿宋_GBK" w:cs="方正仿宋_GBK"/>
        <w:color w:val="auto"/>
        <w:sz w:val="21"/>
        <w:szCs w:val="21"/>
        <w:u w:val="none"/>
        <w:lang w:val="en-US" w:eastAsia="zh-CN"/>
      </w:rPr>
      <w:t>大理州第二人民医院2025年药物基因检测试剂耗材采购项目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DC5CF"/>
    <w:multiLevelType w:val="singleLevel"/>
    <w:tmpl w:val="DF3DC5CF"/>
    <w:lvl w:ilvl="0" w:tentative="0">
      <w:start w:val="9"/>
      <w:numFmt w:val="chineseCounting"/>
      <w:suff w:val="nothing"/>
      <w:lvlText w:val="%1、"/>
      <w:lvlJc w:val="left"/>
      <w:rPr>
        <w:rFonts w:hint="eastAsia"/>
      </w:rPr>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ED3F3FA7"/>
    <w:multiLevelType w:val="singleLevel"/>
    <w:tmpl w:val="ED3F3FA7"/>
    <w:lvl w:ilvl="0" w:tentative="0">
      <w:start w:val="6"/>
      <w:numFmt w:val="chineseCounting"/>
      <w:suff w:val="space"/>
      <w:lvlText w:val="第%1章"/>
      <w:lvlJc w:val="left"/>
      <w:rPr>
        <w:rFonts w:hint="eastAsia"/>
      </w:rPr>
    </w:lvl>
  </w:abstractNum>
  <w:abstractNum w:abstractNumId="3">
    <w:nsid w:val="13FBA765"/>
    <w:multiLevelType w:val="singleLevel"/>
    <w:tmpl w:val="13FBA765"/>
    <w:lvl w:ilvl="0" w:tentative="0">
      <w:start w:val="2"/>
      <w:numFmt w:val="decimal"/>
      <w:lvlText w:val="%1."/>
      <w:lvlJc w:val="left"/>
      <w:pPr>
        <w:tabs>
          <w:tab w:val="left" w:pos="312"/>
        </w:tabs>
      </w:pPr>
    </w:lvl>
  </w:abstractNum>
  <w:abstractNum w:abstractNumId="4">
    <w:nsid w:val="183B8A8F"/>
    <w:multiLevelType w:val="singleLevel"/>
    <w:tmpl w:val="183B8A8F"/>
    <w:lvl w:ilvl="0" w:tentative="0">
      <w:start w:val="1"/>
      <w:numFmt w:val="chineseCounting"/>
      <w:suff w:val="nothing"/>
      <w:lvlText w:val="%1、"/>
      <w:lvlJc w:val="left"/>
      <w:rPr>
        <w:rFonts w:hint="eastAsia"/>
      </w:rPr>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34E38CE2"/>
    <w:multiLevelType w:val="singleLevel"/>
    <w:tmpl w:val="34E38CE2"/>
    <w:lvl w:ilvl="0" w:tentative="0">
      <w:start w:val="1"/>
      <w:numFmt w:val="decimal"/>
      <w:suff w:val="nothing"/>
      <w:lvlText w:val="%1、"/>
      <w:lvlJc w:val="left"/>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000000"/>
    <w:rsid w:val="000E2031"/>
    <w:rsid w:val="0076299A"/>
    <w:rsid w:val="01255169"/>
    <w:rsid w:val="018D0FD6"/>
    <w:rsid w:val="01936EA0"/>
    <w:rsid w:val="021D5A27"/>
    <w:rsid w:val="022F72B6"/>
    <w:rsid w:val="0263135A"/>
    <w:rsid w:val="0363710A"/>
    <w:rsid w:val="038C2F60"/>
    <w:rsid w:val="039A62C8"/>
    <w:rsid w:val="03D128DC"/>
    <w:rsid w:val="04096B57"/>
    <w:rsid w:val="04582133"/>
    <w:rsid w:val="04A7469F"/>
    <w:rsid w:val="04CF1D30"/>
    <w:rsid w:val="04E64753"/>
    <w:rsid w:val="05B237CA"/>
    <w:rsid w:val="05C75370"/>
    <w:rsid w:val="05DA0C08"/>
    <w:rsid w:val="063E7B7D"/>
    <w:rsid w:val="06D53145"/>
    <w:rsid w:val="06FA553D"/>
    <w:rsid w:val="07E02D1B"/>
    <w:rsid w:val="088A7F8C"/>
    <w:rsid w:val="08B9151D"/>
    <w:rsid w:val="0932124D"/>
    <w:rsid w:val="09670CFE"/>
    <w:rsid w:val="09A25DAD"/>
    <w:rsid w:val="09A3532C"/>
    <w:rsid w:val="09AE2C83"/>
    <w:rsid w:val="09E00CA7"/>
    <w:rsid w:val="09E17CD4"/>
    <w:rsid w:val="09F21AF7"/>
    <w:rsid w:val="0A572533"/>
    <w:rsid w:val="0A575B5C"/>
    <w:rsid w:val="0AB92A4E"/>
    <w:rsid w:val="0AE70392"/>
    <w:rsid w:val="0B033DE6"/>
    <w:rsid w:val="0B156206"/>
    <w:rsid w:val="0BA42B36"/>
    <w:rsid w:val="0C9B7937"/>
    <w:rsid w:val="0D111EA9"/>
    <w:rsid w:val="0D5E7E0F"/>
    <w:rsid w:val="0DD346D1"/>
    <w:rsid w:val="0DDA1E79"/>
    <w:rsid w:val="0E0F176F"/>
    <w:rsid w:val="0E4F7A2A"/>
    <w:rsid w:val="0E6C5D5E"/>
    <w:rsid w:val="0E7B2E13"/>
    <w:rsid w:val="0ECA2773"/>
    <w:rsid w:val="0EEE7787"/>
    <w:rsid w:val="0F1B212E"/>
    <w:rsid w:val="0F8B20C4"/>
    <w:rsid w:val="0FB43427"/>
    <w:rsid w:val="0FDA38CE"/>
    <w:rsid w:val="10B55F11"/>
    <w:rsid w:val="10B738C5"/>
    <w:rsid w:val="10B92561"/>
    <w:rsid w:val="10EA1F74"/>
    <w:rsid w:val="10EC06C1"/>
    <w:rsid w:val="10FE7C28"/>
    <w:rsid w:val="11456516"/>
    <w:rsid w:val="11506EE7"/>
    <w:rsid w:val="116D1C82"/>
    <w:rsid w:val="11A36FF9"/>
    <w:rsid w:val="11A57251"/>
    <w:rsid w:val="121F7463"/>
    <w:rsid w:val="122A44DD"/>
    <w:rsid w:val="12C73D4C"/>
    <w:rsid w:val="134E0158"/>
    <w:rsid w:val="13516249"/>
    <w:rsid w:val="13534264"/>
    <w:rsid w:val="13642FC2"/>
    <w:rsid w:val="13794A33"/>
    <w:rsid w:val="13A52DE8"/>
    <w:rsid w:val="13AF127B"/>
    <w:rsid w:val="13D33F3A"/>
    <w:rsid w:val="14943C1C"/>
    <w:rsid w:val="14AB025C"/>
    <w:rsid w:val="14CC5BE8"/>
    <w:rsid w:val="14D074A3"/>
    <w:rsid w:val="14DB07BD"/>
    <w:rsid w:val="14F5787A"/>
    <w:rsid w:val="15B82CF2"/>
    <w:rsid w:val="15CB073F"/>
    <w:rsid w:val="15F32C5E"/>
    <w:rsid w:val="16024B90"/>
    <w:rsid w:val="16530612"/>
    <w:rsid w:val="16DF111B"/>
    <w:rsid w:val="170B5C4F"/>
    <w:rsid w:val="17240AA2"/>
    <w:rsid w:val="17A32564"/>
    <w:rsid w:val="17C53F10"/>
    <w:rsid w:val="18706BA4"/>
    <w:rsid w:val="189D0785"/>
    <w:rsid w:val="18F96061"/>
    <w:rsid w:val="18FD51FE"/>
    <w:rsid w:val="193B720A"/>
    <w:rsid w:val="19495B8F"/>
    <w:rsid w:val="194B3691"/>
    <w:rsid w:val="1954420A"/>
    <w:rsid w:val="19994430"/>
    <w:rsid w:val="19CD180A"/>
    <w:rsid w:val="1A8D0876"/>
    <w:rsid w:val="1AD559B1"/>
    <w:rsid w:val="1AEA2B45"/>
    <w:rsid w:val="1BF754B3"/>
    <w:rsid w:val="1C1D6537"/>
    <w:rsid w:val="1C55393D"/>
    <w:rsid w:val="1CC501FA"/>
    <w:rsid w:val="1DB83067"/>
    <w:rsid w:val="1E0E59D8"/>
    <w:rsid w:val="1E133DAD"/>
    <w:rsid w:val="1E4F3B8B"/>
    <w:rsid w:val="1E5537A3"/>
    <w:rsid w:val="1E5D2FF8"/>
    <w:rsid w:val="1E7F38E5"/>
    <w:rsid w:val="1E8C2E80"/>
    <w:rsid w:val="1EDC3A76"/>
    <w:rsid w:val="1FC85AE5"/>
    <w:rsid w:val="1FD9055F"/>
    <w:rsid w:val="1FEB00BE"/>
    <w:rsid w:val="20475E57"/>
    <w:rsid w:val="206B008D"/>
    <w:rsid w:val="20AC66B5"/>
    <w:rsid w:val="21295ACF"/>
    <w:rsid w:val="219C580D"/>
    <w:rsid w:val="21CD4C6F"/>
    <w:rsid w:val="21E72DEE"/>
    <w:rsid w:val="22154D90"/>
    <w:rsid w:val="229B1455"/>
    <w:rsid w:val="22AD687D"/>
    <w:rsid w:val="22B952CF"/>
    <w:rsid w:val="22BC6401"/>
    <w:rsid w:val="233404B0"/>
    <w:rsid w:val="233471A9"/>
    <w:rsid w:val="234D171C"/>
    <w:rsid w:val="238333FD"/>
    <w:rsid w:val="23C7553D"/>
    <w:rsid w:val="24170C0F"/>
    <w:rsid w:val="245142FB"/>
    <w:rsid w:val="246701EB"/>
    <w:rsid w:val="24917717"/>
    <w:rsid w:val="251771A0"/>
    <w:rsid w:val="25C32FD6"/>
    <w:rsid w:val="25E946DA"/>
    <w:rsid w:val="264E664C"/>
    <w:rsid w:val="268B23BF"/>
    <w:rsid w:val="26941253"/>
    <w:rsid w:val="26A32095"/>
    <w:rsid w:val="26D53D8A"/>
    <w:rsid w:val="27496ECB"/>
    <w:rsid w:val="27754EE2"/>
    <w:rsid w:val="27966B50"/>
    <w:rsid w:val="28085315"/>
    <w:rsid w:val="28436A25"/>
    <w:rsid w:val="28AE5C1B"/>
    <w:rsid w:val="29025F22"/>
    <w:rsid w:val="294F5FAA"/>
    <w:rsid w:val="29503BAF"/>
    <w:rsid w:val="29DE1974"/>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15278D"/>
    <w:rsid w:val="2E746D02"/>
    <w:rsid w:val="2E9B139E"/>
    <w:rsid w:val="2EC319E0"/>
    <w:rsid w:val="2ED418D9"/>
    <w:rsid w:val="2EE519EA"/>
    <w:rsid w:val="2F4A02C4"/>
    <w:rsid w:val="2F826B76"/>
    <w:rsid w:val="303C1333"/>
    <w:rsid w:val="30682F93"/>
    <w:rsid w:val="30AB4D7A"/>
    <w:rsid w:val="30DE3B1E"/>
    <w:rsid w:val="30DF142C"/>
    <w:rsid w:val="30F47F4E"/>
    <w:rsid w:val="312E4B49"/>
    <w:rsid w:val="3195010A"/>
    <w:rsid w:val="31CA0BF1"/>
    <w:rsid w:val="324B7158"/>
    <w:rsid w:val="329335C7"/>
    <w:rsid w:val="32D8097F"/>
    <w:rsid w:val="33037A84"/>
    <w:rsid w:val="333A644E"/>
    <w:rsid w:val="33B84825"/>
    <w:rsid w:val="33FB3D72"/>
    <w:rsid w:val="342B1D46"/>
    <w:rsid w:val="345566A7"/>
    <w:rsid w:val="345A3171"/>
    <w:rsid w:val="34A26952"/>
    <w:rsid w:val="351A11EA"/>
    <w:rsid w:val="352F4663"/>
    <w:rsid w:val="354457B6"/>
    <w:rsid w:val="35B24DB4"/>
    <w:rsid w:val="35CC42BC"/>
    <w:rsid w:val="3653668E"/>
    <w:rsid w:val="36976F79"/>
    <w:rsid w:val="37012A8E"/>
    <w:rsid w:val="376F33EB"/>
    <w:rsid w:val="37BC22E3"/>
    <w:rsid w:val="390D18F4"/>
    <w:rsid w:val="39A7476B"/>
    <w:rsid w:val="3A114E37"/>
    <w:rsid w:val="3A5D0A48"/>
    <w:rsid w:val="3A8B638D"/>
    <w:rsid w:val="3AC910B5"/>
    <w:rsid w:val="3AD04698"/>
    <w:rsid w:val="3B33447C"/>
    <w:rsid w:val="3B554279"/>
    <w:rsid w:val="3BBD5DA7"/>
    <w:rsid w:val="3BFB2C23"/>
    <w:rsid w:val="3C504A70"/>
    <w:rsid w:val="3C850DA6"/>
    <w:rsid w:val="3D0556E4"/>
    <w:rsid w:val="3D055932"/>
    <w:rsid w:val="3D077E68"/>
    <w:rsid w:val="3D812E51"/>
    <w:rsid w:val="3D8A4A83"/>
    <w:rsid w:val="3D9F4E3A"/>
    <w:rsid w:val="3EE53CDA"/>
    <w:rsid w:val="3F9650BA"/>
    <w:rsid w:val="3FC06779"/>
    <w:rsid w:val="400B3831"/>
    <w:rsid w:val="402C6D45"/>
    <w:rsid w:val="4087178C"/>
    <w:rsid w:val="4124336F"/>
    <w:rsid w:val="4175528F"/>
    <w:rsid w:val="417B29EC"/>
    <w:rsid w:val="41A46050"/>
    <w:rsid w:val="42047947"/>
    <w:rsid w:val="42474740"/>
    <w:rsid w:val="42606FC2"/>
    <w:rsid w:val="427A2B43"/>
    <w:rsid w:val="429B5C7D"/>
    <w:rsid w:val="42C4498C"/>
    <w:rsid w:val="42D46229"/>
    <w:rsid w:val="42F67042"/>
    <w:rsid w:val="43784FA8"/>
    <w:rsid w:val="43955EE6"/>
    <w:rsid w:val="43DA1797"/>
    <w:rsid w:val="43E03DBF"/>
    <w:rsid w:val="446C4078"/>
    <w:rsid w:val="4470687E"/>
    <w:rsid w:val="44731680"/>
    <w:rsid w:val="44874045"/>
    <w:rsid w:val="44D1058E"/>
    <w:rsid w:val="44D81A5D"/>
    <w:rsid w:val="44E5549C"/>
    <w:rsid w:val="44F65A65"/>
    <w:rsid w:val="45913515"/>
    <w:rsid w:val="461D2D9B"/>
    <w:rsid w:val="462517E9"/>
    <w:rsid w:val="465809DE"/>
    <w:rsid w:val="467E3312"/>
    <w:rsid w:val="472D2DBD"/>
    <w:rsid w:val="47511C05"/>
    <w:rsid w:val="47B57E4D"/>
    <w:rsid w:val="47BF6E9A"/>
    <w:rsid w:val="47EB2DB3"/>
    <w:rsid w:val="480A46CC"/>
    <w:rsid w:val="48285ED2"/>
    <w:rsid w:val="48990DF5"/>
    <w:rsid w:val="48F548CD"/>
    <w:rsid w:val="491771D2"/>
    <w:rsid w:val="499E3486"/>
    <w:rsid w:val="49C909CF"/>
    <w:rsid w:val="49EB4118"/>
    <w:rsid w:val="4A0D293E"/>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CC67F3A"/>
    <w:rsid w:val="4CE3540B"/>
    <w:rsid w:val="4D364729"/>
    <w:rsid w:val="4D3B35D8"/>
    <w:rsid w:val="4D614D33"/>
    <w:rsid w:val="4D6B0C48"/>
    <w:rsid w:val="4E125A02"/>
    <w:rsid w:val="4E1C020C"/>
    <w:rsid w:val="4E233CD0"/>
    <w:rsid w:val="4E2D1B6F"/>
    <w:rsid w:val="4EBB1C98"/>
    <w:rsid w:val="4EE1474E"/>
    <w:rsid w:val="4F1D76BF"/>
    <w:rsid w:val="4F2431B0"/>
    <w:rsid w:val="500A58D5"/>
    <w:rsid w:val="502E3694"/>
    <w:rsid w:val="505A3201"/>
    <w:rsid w:val="505C4EE0"/>
    <w:rsid w:val="505C7A00"/>
    <w:rsid w:val="506F7732"/>
    <w:rsid w:val="510A2119"/>
    <w:rsid w:val="51AE001E"/>
    <w:rsid w:val="51B60EEB"/>
    <w:rsid w:val="51DE3F25"/>
    <w:rsid w:val="520B2236"/>
    <w:rsid w:val="52293BB7"/>
    <w:rsid w:val="526B344C"/>
    <w:rsid w:val="528A22F8"/>
    <w:rsid w:val="52C12D8E"/>
    <w:rsid w:val="52D55449"/>
    <w:rsid w:val="52E65491"/>
    <w:rsid w:val="53AB5C93"/>
    <w:rsid w:val="53BA1757"/>
    <w:rsid w:val="54091D68"/>
    <w:rsid w:val="54164366"/>
    <w:rsid w:val="542D20AB"/>
    <w:rsid w:val="543D69A0"/>
    <w:rsid w:val="54671339"/>
    <w:rsid w:val="54C64B3E"/>
    <w:rsid w:val="54F05DF2"/>
    <w:rsid w:val="550C5911"/>
    <w:rsid w:val="551A5634"/>
    <w:rsid w:val="55BC2C45"/>
    <w:rsid w:val="564B109D"/>
    <w:rsid w:val="56A91DDA"/>
    <w:rsid w:val="56D94BDA"/>
    <w:rsid w:val="56FE460D"/>
    <w:rsid w:val="57260D05"/>
    <w:rsid w:val="57482791"/>
    <w:rsid w:val="57A65664"/>
    <w:rsid w:val="57C56BFC"/>
    <w:rsid w:val="58483B99"/>
    <w:rsid w:val="58916243"/>
    <w:rsid w:val="591846ED"/>
    <w:rsid w:val="592022CA"/>
    <w:rsid w:val="59252B5B"/>
    <w:rsid w:val="59736B31"/>
    <w:rsid w:val="5980475F"/>
    <w:rsid w:val="5983777F"/>
    <w:rsid w:val="5A3A3C87"/>
    <w:rsid w:val="5A5D7EFD"/>
    <w:rsid w:val="5A852FE5"/>
    <w:rsid w:val="5A89576C"/>
    <w:rsid w:val="5AEE6358"/>
    <w:rsid w:val="5AF954D7"/>
    <w:rsid w:val="5B0D17AF"/>
    <w:rsid w:val="5B345801"/>
    <w:rsid w:val="5B6A3DA5"/>
    <w:rsid w:val="5B7675E1"/>
    <w:rsid w:val="5CEE19DF"/>
    <w:rsid w:val="5D08563B"/>
    <w:rsid w:val="5D6F56BA"/>
    <w:rsid w:val="5DD717C4"/>
    <w:rsid w:val="5E044725"/>
    <w:rsid w:val="5E1404DF"/>
    <w:rsid w:val="5E254AFD"/>
    <w:rsid w:val="5E7E1CF2"/>
    <w:rsid w:val="5E816CC5"/>
    <w:rsid w:val="5E9542ED"/>
    <w:rsid w:val="5EC305E0"/>
    <w:rsid w:val="5F051F75"/>
    <w:rsid w:val="5F195BD1"/>
    <w:rsid w:val="5F2A38B4"/>
    <w:rsid w:val="5F4227D2"/>
    <w:rsid w:val="5F5848B3"/>
    <w:rsid w:val="5FC73077"/>
    <w:rsid w:val="5FD77A5B"/>
    <w:rsid w:val="5FFD12D5"/>
    <w:rsid w:val="603A10FB"/>
    <w:rsid w:val="60DC79FC"/>
    <w:rsid w:val="60F20A77"/>
    <w:rsid w:val="61143D95"/>
    <w:rsid w:val="61222F3D"/>
    <w:rsid w:val="615B42BA"/>
    <w:rsid w:val="62045787"/>
    <w:rsid w:val="62584832"/>
    <w:rsid w:val="625C5B20"/>
    <w:rsid w:val="625F2D4E"/>
    <w:rsid w:val="62805DF0"/>
    <w:rsid w:val="62A57D4F"/>
    <w:rsid w:val="62D34E5B"/>
    <w:rsid w:val="62D522B5"/>
    <w:rsid w:val="635355C6"/>
    <w:rsid w:val="6386292D"/>
    <w:rsid w:val="640123CE"/>
    <w:rsid w:val="642E7C1B"/>
    <w:rsid w:val="64390AC0"/>
    <w:rsid w:val="64485070"/>
    <w:rsid w:val="647F2B28"/>
    <w:rsid w:val="64913B85"/>
    <w:rsid w:val="64983243"/>
    <w:rsid w:val="64CC56C3"/>
    <w:rsid w:val="650E650D"/>
    <w:rsid w:val="65274368"/>
    <w:rsid w:val="653C30AB"/>
    <w:rsid w:val="6573098A"/>
    <w:rsid w:val="65993A9C"/>
    <w:rsid w:val="65A760AB"/>
    <w:rsid w:val="661E4B5C"/>
    <w:rsid w:val="66386B49"/>
    <w:rsid w:val="664517B1"/>
    <w:rsid w:val="66690F9D"/>
    <w:rsid w:val="66DA441D"/>
    <w:rsid w:val="670B6D9F"/>
    <w:rsid w:val="673B5616"/>
    <w:rsid w:val="6764184A"/>
    <w:rsid w:val="67B0620F"/>
    <w:rsid w:val="68974925"/>
    <w:rsid w:val="68F40AE6"/>
    <w:rsid w:val="695B3D8F"/>
    <w:rsid w:val="696867D1"/>
    <w:rsid w:val="6A0E05B0"/>
    <w:rsid w:val="6A34110C"/>
    <w:rsid w:val="6A4D07C6"/>
    <w:rsid w:val="6AA42107"/>
    <w:rsid w:val="6ABC6AD8"/>
    <w:rsid w:val="6B1346ED"/>
    <w:rsid w:val="6BAC62D7"/>
    <w:rsid w:val="6BB378EF"/>
    <w:rsid w:val="6BC02AA9"/>
    <w:rsid w:val="6BC81A3A"/>
    <w:rsid w:val="6BD54ED0"/>
    <w:rsid w:val="6C3863A9"/>
    <w:rsid w:val="6C4B4286"/>
    <w:rsid w:val="6C8C49D4"/>
    <w:rsid w:val="6CAB3D69"/>
    <w:rsid w:val="6CF74956"/>
    <w:rsid w:val="6D360D52"/>
    <w:rsid w:val="6D402624"/>
    <w:rsid w:val="6D495A6E"/>
    <w:rsid w:val="6D500B8A"/>
    <w:rsid w:val="6E216950"/>
    <w:rsid w:val="6E3232E3"/>
    <w:rsid w:val="6E403586"/>
    <w:rsid w:val="6E5649DD"/>
    <w:rsid w:val="6E6832AF"/>
    <w:rsid w:val="6E7270B5"/>
    <w:rsid w:val="6ED0363B"/>
    <w:rsid w:val="6EE557F2"/>
    <w:rsid w:val="6F0D2751"/>
    <w:rsid w:val="6F13685B"/>
    <w:rsid w:val="6F2142C6"/>
    <w:rsid w:val="6F2F2055"/>
    <w:rsid w:val="6F3603A6"/>
    <w:rsid w:val="6F685641"/>
    <w:rsid w:val="6F8957F8"/>
    <w:rsid w:val="6FFB17E9"/>
    <w:rsid w:val="6FFF22C9"/>
    <w:rsid w:val="700A0594"/>
    <w:rsid w:val="706C25FE"/>
    <w:rsid w:val="70942538"/>
    <w:rsid w:val="70AD10C2"/>
    <w:rsid w:val="713C459F"/>
    <w:rsid w:val="71496A24"/>
    <w:rsid w:val="716F4028"/>
    <w:rsid w:val="71846DE1"/>
    <w:rsid w:val="71E70438"/>
    <w:rsid w:val="72263AAF"/>
    <w:rsid w:val="72A71C81"/>
    <w:rsid w:val="72E61B87"/>
    <w:rsid w:val="730B5EB9"/>
    <w:rsid w:val="73202523"/>
    <w:rsid w:val="7365365F"/>
    <w:rsid w:val="73AF1A71"/>
    <w:rsid w:val="73DC6103"/>
    <w:rsid w:val="74B35E8D"/>
    <w:rsid w:val="75BE6BCA"/>
    <w:rsid w:val="769B64B7"/>
    <w:rsid w:val="76BF57D5"/>
    <w:rsid w:val="76DB742C"/>
    <w:rsid w:val="76EE13AB"/>
    <w:rsid w:val="770C6097"/>
    <w:rsid w:val="772538E7"/>
    <w:rsid w:val="772C5186"/>
    <w:rsid w:val="78686BA9"/>
    <w:rsid w:val="78893826"/>
    <w:rsid w:val="78895347"/>
    <w:rsid w:val="78A66FD7"/>
    <w:rsid w:val="78FA7B4C"/>
    <w:rsid w:val="791C24A1"/>
    <w:rsid w:val="79311181"/>
    <w:rsid w:val="79555262"/>
    <w:rsid w:val="797456A1"/>
    <w:rsid w:val="79816E0B"/>
    <w:rsid w:val="79C661A5"/>
    <w:rsid w:val="79DD3BE8"/>
    <w:rsid w:val="7A3755B3"/>
    <w:rsid w:val="7A4C6250"/>
    <w:rsid w:val="7A6714DC"/>
    <w:rsid w:val="7AD36C79"/>
    <w:rsid w:val="7AE52209"/>
    <w:rsid w:val="7AF67924"/>
    <w:rsid w:val="7C191E55"/>
    <w:rsid w:val="7C7978E4"/>
    <w:rsid w:val="7D56764F"/>
    <w:rsid w:val="7DAB6905"/>
    <w:rsid w:val="7E066A6D"/>
    <w:rsid w:val="7E3E312B"/>
    <w:rsid w:val="7E9C2931"/>
    <w:rsid w:val="7EAA7A04"/>
    <w:rsid w:val="7F0C7065"/>
    <w:rsid w:val="7F1D01D6"/>
    <w:rsid w:val="7F9F776C"/>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3"/>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9"/>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style>
  <w:style w:type="paragraph" w:styleId="9">
    <w:name w:val="Body Text First Indent"/>
    <w:basedOn w:val="2"/>
    <w:next w:val="1"/>
    <w:qFormat/>
    <w:uiPriority w:val="0"/>
    <w:pPr>
      <w:spacing w:line="360" w:lineRule="auto"/>
      <w:ind w:firstLine="425"/>
    </w:pPr>
    <w:rPr>
      <w:szCs w:val="21"/>
    </w:rPr>
  </w:style>
  <w:style w:type="paragraph" w:styleId="10">
    <w:name w:val="Plain Text"/>
    <w:basedOn w:val="1"/>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semiHidden/>
    <w:unhideWhenUsed/>
    <w:qFormat/>
    <w:uiPriority w:val="99"/>
    <w:rPr>
      <w:sz w:val="21"/>
      <w:szCs w:val="21"/>
    </w:rPr>
  </w:style>
  <w:style w:type="character" w:customStyle="1" w:styleId="19">
    <w:name w:val="标题 2 Char"/>
    <w:link w:val="4"/>
    <w:qFormat/>
    <w:uiPriority w:val="0"/>
    <w:rPr>
      <w:rFonts w:ascii="Arial" w:hAnsi="Arial" w:eastAsia="方正黑体_GBK"/>
      <w:b/>
      <w:kern w:val="0"/>
      <w:sz w:val="32"/>
    </w:rPr>
  </w:style>
  <w:style w:type="paragraph" w:customStyle="1" w:styleId="20">
    <w:name w:val="一级条标题"/>
    <w:basedOn w:val="21"/>
    <w:next w:val="22"/>
    <w:qFormat/>
    <w:uiPriority w:val="0"/>
    <w:pPr>
      <w:tabs>
        <w:tab w:val="left" w:pos="360"/>
        <w:tab w:val="left" w:pos="1035"/>
        <w:tab w:val="left" w:pos="1137"/>
        <w:tab w:val="left" w:pos="2577"/>
      </w:tabs>
      <w:spacing w:beforeLines="0" w:afterLines="0"/>
      <w:ind w:left="1035" w:hanging="570"/>
      <w:outlineLvl w:val="2"/>
    </w:pPr>
  </w:style>
  <w:style w:type="paragraph" w:customStyle="1" w:styleId="21">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3">
    <w:name w:val="标题 1 Char"/>
    <w:link w:val="3"/>
    <w:qFormat/>
    <w:uiPriority w:val="0"/>
    <w:rPr>
      <w:rFonts w:eastAsia="方正黑体_GBK" w:asciiTheme="minorAscii" w:hAnsiTheme="minorAscii"/>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character" w:customStyle="1" w:styleId="26">
    <w:name w:val="font11"/>
    <w:basedOn w:val="17"/>
    <w:qFormat/>
    <w:uiPriority w:val="0"/>
    <w:rPr>
      <w:rFonts w:hint="eastAsia" w:ascii="宋体" w:hAnsi="宋体" w:eastAsia="宋体" w:cs="宋体"/>
      <w:color w:val="000000"/>
      <w:sz w:val="20"/>
      <w:szCs w:val="20"/>
      <w:u w:val="none"/>
    </w:rPr>
  </w:style>
  <w:style w:type="character" w:customStyle="1" w:styleId="27">
    <w:name w:val="font21"/>
    <w:basedOn w:val="17"/>
    <w:qFormat/>
    <w:uiPriority w:val="0"/>
    <w:rPr>
      <w:rFonts w:hint="eastAsia" w:ascii="宋体" w:hAnsi="宋体" w:eastAsia="宋体" w:cs="宋体"/>
      <w:color w:val="000000"/>
      <w:sz w:val="20"/>
      <w:szCs w:val="20"/>
      <w:u w:val="none"/>
    </w:rPr>
  </w:style>
  <w:style w:type="paragraph" w:styleId="28">
    <w:name w:val="List Paragraph"/>
    <w:basedOn w:val="1"/>
    <w:qFormat/>
    <w:uiPriority w:val="99"/>
    <w:pPr>
      <w:ind w:firstLine="420"/>
    </w:pPr>
  </w:style>
  <w:style w:type="paragraph" w:customStyle="1" w:styleId="29">
    <w:name w:val="表格文字"/>
    <w:basedOn w:val="1"/>
    <w:qFormat/>
    <w:uiPriority w:val="0"/>
    <w:pPr>
      <w:spacing w:before="25" w:after="25"/>
      <w:jc w:val="left"/>
    </w:pPr>
    <w:rPr>
      <w:bCs/>
      <w:spacing w:val="10"/>
      <w:kern w:val="0"/>
      <w:sz w:val="24"/>
      <w:szCs w:val="20"/>
    </w:rPr>
  </w:style>
  <w:style w:type="character" w:customStyle="1" w:styleId="30">
    <w:name w:val="标题 3 Char"/>
    <w:link w:val="5"/>
    <w:qFormat/>
    <w:uiPriority w:val="0"/>
    <w:rPr>
      <w:b/>
      <w:sz w:val="32"/>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p2"/>
    <w:basedOn w:val="1"/>
    <w:qFormat/>
    <w:uiPriority w:val="0"/>
    <w:pPr>
      <w:widowControl/>
      <w:spacing w:line="480" w:lineRule="auto"/>
      <w:ind w:firstLine="420"/>
      <w:jc w:val="left"/>
    </w:pPr>
    <w:rPr>
      <w:rFonts w:ascii="宋体" w:hAnsi="宋体" w:cs="宋体"/>
      <w:kern w:val="0"/>
      <w:szCs w:val="21"/>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4">
    <w:name w:val="font81"/>
    <w:basedOn w:val="17"/>
    <w:qFormat/>
    <w:uiPriority w:val="0"/>
    <w:rPr>
      <w:rFonts w:hint="default" w:ascii="Times New Roman" w:hAnsi="Times New Roman" w:cs="Times New Roman"/>
      <w:b/>
      <w:bCs/>
      <w:color w:val="000000"/>
      <w:sz w:val="24"/>
      <w:szCs w:val="24"/>
      <w:u w:val="none"/>
    </w:rPr>
  </w:style>
  <w:style w:type="character" w:customStyle="1" w:styleId="35">
    <w:name w:val="font01"/>
    <w:basedOn w:val="17"/>
    <w:qFormat/>
    <w:uiPriority w:val="0"/>
    <w:rPr>
      <w:rFonts w:hint="eastAsia" w:ascii="宋体" w:hAnsi="宋体" w:eastAsia="宋体" w:cs="宋体"/>
      <w:color w:val="000000"/>
      <w:sz w:val="22"/>
      <w:szCs w:val="22"/>
      <w:u w:val="none"/>
    </w:rPr>
  </w:style>
  <w:style w:type="character" w:customStyle="1" w:styleId="36">
    <w:name w:val="font7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19560</Words>
  <Characters>20937</Characters>
  <Lines>0</Lines>
  <Paragraphs>0</Paragraphs>
  <TotalTime>40</TotalTime>
  <ScaleCrop>false</ScaleCrop>
  <LinksUpToDate>false</LinksUpToDate>
  <CharactersWithSpaces>22266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2025-07-21T08:30:00Z</cp:lastPrinted>
  <dcterms:modified xsi:type="dcterms:W3CDTF">2025-07-22T08:02:16Z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0FF8AFC2D1CB4976A05D1DC845347D1B_12</vt:lpwstr>
  </property>
</Properties>
</file>