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大理州第二人民医院2025年度部份高效液相色谱试剂耗材采购项目（二次）</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项目编号：</w:t>
      </w:r>
      <w:r>
        <w:rPr>
          <w:rFonts w:hint="default" w:ascii="Times New Roman" w:hAnsi="Times New Roman" w:cs="Times New Roman"/>
          <w:b w:val="0"/>
          <w:bCs w:val="0"/>
          <w:color w:val="auto"/>
          <w:sz w:val="32"/>
          <w:szCs w:val="32"/>
          <w:u w:val="none" w:color="auto"/>
          <w:lang w:val="en-US" w:eastAsia="zh-CN"/>
        </w:rPr>
        <w:t>DLZEY</w:t>
      </w:r>
      <w:r>
        <w:rPr>
          <w:rFonts w:hint="eastAsia" w:ascii="Times New Roman" w:hAnsi="Times New Roman" w:cs="Times New Roman"/>
          <w:b w:val="0"/>
          <w:bCs w:val="0"/>
          <w:color w:val="auto"/>
          <w:sz w:val="32"/>
          <w:szCs w:val="32"/>
          <w:u w:val="none" w:color="auto"/>
          <w:lang w:val="en-US" w:eastAsia="zh-CN"/>
        </w:rPr>
        <w:t>SBK</w:t>
      </w:r>
      <w:r>
        <w:rPr>
          <w:rFonts w:hint="default" w:ascii="Times New Roman" w:hAnsi="Times New Roman" w:cs="Times New Roman"/>
          <w:b w:val="0"/>
          <w:bCs w:val="0"/>
          <w:color w:val="auto"/>
          <w:sz w:val="32"/>
          <w:szCs w:val="32"/>
          <w:u w:val="none" w:color="auto"/>
          <w:lang w:val="en-US" w:eastAsia="zh-CN"/>
        </w:rPr>
        <w:t>-202</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cs="Times New Roman"/>
          <w:b w:val="0"/>
          <w:bCs w:val="0"/>
          <w:color w:val="auto"/>
          <w:sz w:val="32"/>
          <w:szCs w:val="32"/>
          <w:u w:val="none" w:color="auto"/>
          <w:lang w:val="en-US" w:eastAsia="zh-CN"/>
        </w:rPr>
        <w:t>-0</w:t>
      </w:r>
      <w:r>
        <w:rPr>
          <w:rFonts w:hint="eastAsia" w:ascii="Times New Roman" w:hAnsi="Times New Roman"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0" w:firstLineChars="0"/>
        <w:jc w:val="left"/>
        <w:textAlignment w:val="auto"/>
        <w:rPr>
          <w:rFonts w:hint="eastAsia"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项目名称：</w:t>
      </w:r>
      <w:r>
        <w:rPr>
          <w:rFonts w:hint="eastAsia" w:ascii="Times New Roman" w:hAnsi="Times New Roman" w:cs="Times New Roman"/>
          <w:b w:val="0"/>
          <w:bCs w:val="0"/>
          <w:color w:val="auto"/>
          <w:sz w:val="32"/>
          <w:szCs w:val="32"/>
          <w:u w:val="none" w:color="auto"/>
          <w:lang w:val="en-US" w:eastAsia="zh-CN"/>
        </w:rPr>
        <w:t>大理州第二人民医院2025年度部份高效液相色谱</w:t>
      </w:r>
    </w:p>
    <w:p>
      <w:pPr>
        <w:keepNext w:val="0"/>
        <w:keepLines w:val="0"/>
        <w:pageBreakBefore w:val="0"/>
        <w:widowControl w:val="0"/>
        <w:kinsoku/>
        <w:wordWrap/>
        <w:overflowPunct/>
        <w:topLinePunct w:val="0"/>
        <w:autoSpaceDE/>
        <w:autoSpaceDN/>
        <w:bidi w:val="0"/>
        <w:adjustRightInd/>
        <w:snapToGrid/>
        <w:spacing w:line="460" w:lineRule="exact"/>
        <w:ind w:left="0" w:firstLine="1600" w:firstLineChars="50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试剂耗材采购项目（二次）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采购人：</w:t>
      </w:r>
      <w:r>
        <w:rPr>
          <w:rFonts w:hint="default" w:ascii="Times New Roman" w:hAnsi="Times New Roman" w:eastAsia="方正仿宋_GBK" w:cs="Times New Roman"/>
          <w:b w:val="0"/>
          <w:bCs w:val="0"/>
          <w:color w:val="auto"/>
          <w:sz w:val="32"/>
          <w:szCs w:val="32"/>
          <w:u w:val="none" w:color="auto"/>
          <w:lang w:val="en-US" w:eastAsia="zh-CN"/>
        </w:rPr>
        <w:t xml:space="preserve">大理白族自治州第二人民医院 </w:t>
      </w:r>
      <w:r>
        <w:rPr>
          <w:rFonts w:hint="default" w:ascii="Times New Roman" w:hAnsi="Times New Roman" w:cs="Times New Roman"/>
          <w:b w:val="0"/>
          <w:bCs w:val="0"/>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归口部门：</w:t>
      </w:r>
      <w:r>
        <w:rPr>
          <w:rFonts w:hint="default" w:ascii="Times New Roman" w:hAnsi="Times New Roman" w:cs="Times New Roman"/>
          <w:b w:val="0"/>
          <w:bCs w:val="0"/>
          <w:color w:val="auto"/>
          <w:sz w:val="32"/>
          <w:szCs w:val="32"/>
          <w:u w:val="none" w:color="auto"/>
          <w:lang w:val="en-US" w:eastAsia="zh-CN"/>
        </w:rPr>
        <w:t>设备科</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实施部门：</w:t>
      </w:r>
      <w:r>
        <w:rPr>
          <w:rFonts w:hint="eastAsia" w:ascii="Times New Roman" w:hAnsi="Times New Roman" w:cs="Times New Roman"/>
          <w:b w:val="0"/>
          <w:bCs w:val="0"/>
          <w:color w:val="auto"/>
          <w:sz w:val="32"/>
          <w:szCs w:val="32"/>
          <w:u w:val="none" w:color="auto"/>
          <w:lang w:eastAsia="zh-CN"/>
        </w:rPr>
        <w:t>设备科</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sz w:val="32"/>
          <w:szCs w:val="32"/>
          <w:highlight w:val="none"/>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rPr>
        <w:t>地址：</w:t>
      </w:r>
      <w:r>
        <w:rPr>
          <w:rFonts w:hint="default" w:ascii="Times New Roman" w:hAnsi="Times New Roman" w:eastAsia="方正仿宋_GBK" w:cs="Times New Roman"/>
          <w:b w:val="0"/>
          <w:bCs w:val="0"/>
          <w:color w:val="auto"/>
          <w:sz w:val="32"/>
          <w:szCs w:val="32"/>
          <w:highlight w:val="none"/>
          <w:u w:val="none" w:color="auto"/>
          <w:lang w:val="en-US" w:eastAsia="zh-CN"/>
        </w:rPr>
        <w:t>大理市满江街道红山路与太和路交汇处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rPr>
        <w:t>时间：202</w:t>
      </w:r>
      <w:r>
        <w:rPr>
          <w:rFonts w:hint="eastAsia" w:ascii="Times New Roman" w:hAnsi="Times New Roman" w:cs="Times New Roman"/>
          <w:b w:val="0"/>
          <w:bCs w:val="0"/>
          <w:color w:val="auto"/>
          <w:sz w:val="32"/>
          <w:szCs w:val="32"/>
          <w:highlight w:val="none"/>
          <w:u w:val="none" w:color="auto"/>
          <w:lang w:val="en-US" w:eastAsia="zh-CN"/>
        </w:rPr>
        <w:t>5</w:t>
      </w:r>
      <w:r>
        <w:rPr>
          <w:rFonts w:hint="default" w:ascii="Times New Roman" w:hAnsi="Times New Roman" w:eastAsia="方正仿宋_GBK" w:cs="Times New Roman"/>
          <w:b w:val="0"/>
          <w:bCs w:val="0"/>
          <w:color w:val="auto"/>
          <w:sz w:val="32"/>
          <w:szCs w:val="32"/>
          <w:highlight w:val="none"/>
          <w:u w:val="none" w:color="auto"/>
        </w:rPr>
        <w:t>年</w:t>
      </w:r>
      <w:r>
        <w:rPr>
          <w:rFonts w:hint="eastAsia" w:ascii="Times New Roman" w:hAnsi="Times New Roman" w:cs="Times New Roman"/>
          <w:b w:val="0"/>
          <w:bCs w:val="0"/>
          <w:color w:val="auto"/>
          <w:sz w:val="32"/>
          <w:szCs w:val="32"/>
          <w:highlight w:val="none"/>
          <w:u w:val="none" w:color="auto"/>
          <w:lang w:val="en-US" w:eastAsia="zh-CN"/>
        </w:rPr>
        <w:t>5</w:t>
      </w:r>
      <w:r>
        <w:rPr>
          <w:rFonts w:hint="default" w:ascii="Times New Roman" w:hAnsi="Times New Roman" w:eastAsia="方正仿宋_GBK" w:cs="Times New Roman"/>
          <w:b w:val="0"/>
          <w:bCs w:val="0"/>
          <w:color w:val="auto"/>
          <w:sz w:val="32"/>
          <w:szCs w:val="32"/>
          <w:highlight w:val="none"/>
          <w:u w:val="none" w:color="auto"/>
        </w:rPr>
        <w:t xml:space="preserve">月 </w:t>
      </w:r>
      <w:r>
        <w:rPr>
          <w:rFonts w:hint="default" w:ascii="Times New Roman" w:hAnsi="Times New Roman" w:cs="Times New Roman"/>
          <w:b w:val="0"/>
          <w:bCs w:val="0"/>
          <w:color w:val="auto"/>
          <w:sz w:val="32"/>
          <w:szCs w:val="32"/>
          <w:highlight w:val="none"/>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rPr>
          <w:rFonts w:hint="default"/>
        </w:rPr>
      </w:pPr>
    </w:p>
    <w:sdt>
      <w:sdtPr>
        <w:rPr>
          <w:rFonts w:hint="eastAsia" w:ascii="方正仿宋_GBK" w:hAnsi="方正仿宋_GBK" w:eastAsia="方正仿宋_GBK" w:cs="方正仿宋_GBK"/>
          <w:kern w:val="2"/>
          <w:sz w:val="32"/>
          <w:szCs w:val="32"/>
          <w:lang w:val="en-US" w:eastAsia="zh-CN" w:bidi="ar-SA"/>
        </w:rPr>
        <w:id w:val="147463235"/>
        <w15:color w:val="DBDBDB"/>
        <w:docPartObj>
          <w:docPartGallery w:val="Table of Contents"/>
          <w:docPartUnique/>
        </w:docPartObj>
      </w:sdtPr>
      <w:sdtEndPr>
        <w:rPr>
          <w:rFonts w:hint="default" w:ascii="Times New Roman" w:hAnsi="Times New Roman" w:eastAsia="方正黑体_GBK" w:cs="Times New Roman"/>
          <w:b/>
          <w:kern w:val="44"/>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目录</w:t>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"1-2" \h \u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_Toc7992 </w:instrText>
          </w:r>
          <w:r>
            <w:rPr>
              <w:rFonts w:hint="default" w:ascii="Times New Roman" w:hAnsi="Times New Roman" w:cs="Times New Roman"/>
              <w:lang w:val="en-US" w:eastAsia="zh-CN"/>
            </w:rPr>
            <w:fldChar w:fldCharType="separate"/>
          </w:r>
          <w:r>
            <w:rPr>
              <w:rFonts w:hint="eastAsia" w:ascii="Times New Roman" w:hAnsi="Times New Roman" w:cs="Times New Roman"/>
              <w:lang w:val="en-US" w:eastAsia="zh-CN"/>
            </w:rPr>
            <w:t xml:space="preserve">第一章 </w:t>
          </w:r>
          <w:r>
            <w:rPr>
              <w:rFonts w:hint="default" w:ascii="Times New Roman" w:hAnsi="Times New Roman" w:cs="Times New Roman"/>
              <w:lang w:val="en-US" w:eastAsia="zh-CN"/>
            </w:rPr>
            <w:t>询 价 公 告</w:t>
          </w:r>
          <w:r>
            <w:tab/>
          </w:r>
          <w:r>
            <w:fldChar w:fldCharType="begin"/>
          </w:r>
          <w:r>
            <w:instrText xml:space="preserve"> PAGEREF _Toc7992 \h </w:instrText>
          </w:r>
          <w:r>
            <w:fldChar w:fldCharType="separate"/>
          </w:r>
          <w:r>
            <w:t>3</w:t>
          </w:r>
          <w:r>
            <w:fldChar w:fldCharType="end"/>
          </w:r>
          <w:r>
            <w:rPr>
              <w:rFonts w:hint="default" w:ascii="Times New Roman" w:hAnsi="Times New Roman" w:cs="Times New Roman"/>
              <w:lang w:val="en-US" w:eastAsia="zh-CN"/>
            </w:rPr>
            <w:fldChar w:fldCharType="end"/>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_Toc5237 </w:instrText>
          </w:r>
          <w:r>
            <w:rPr>
              <w:rFonts w:hint="default" w:ascii="Times New Roman" w:hAnsi="Times New Roman" w:cs="Times New Roman"/>
              <w:lang w:val="en-US" w:eastAsia="zh-CN"/>
            </w:rPr>
            <w:fldChar w:fldCharType="separate"/>
          </w:r>
          <w:r>
            <w:rPr>
              <w:rFonts w:hint="eastAsia"/>
              <w:lang w:val="en-US" w:eastAsia="zh-CN"/>
            </w:rPr>
            <w:t xml:space="preserve">第二章 </w:t>
          </w:r>
          <w:r>
            <w:rPr>
              <w:rFonts w:hint="default"/>
              <w:lang w:val="en-US" w:eastAsia="zh-CN"/>
            </w:rPr>
            <w:t>供 应 商 须 知</w:t>
          </w:r>
          <w:r>
            <w:tab/>
          </w:r>
          <w:r>
            <w:fldChar w:fldCharType="begin"/>
          </w:r>
          <w:r>
            <w:instrText xml:space="preserve"> PAGEREF _Toc5237 \h </w:instrText>
          </w:r>
          <w:r>
            <w:fldChar w:fldCharType="separate"/>
          </w:r>
          <w:r>
            <w:t>8</w:t>
          </w:r>
          <w:r>
            <w:fldChar w:fldCharType="end"/>
          </w:r>
          <w:r>
            <w:rPr>
              <w:rFonts w:hint="default" w:ascii="Times New Roman" w:hAnsi="Times New Roman" w:cs="Times New Roman"/>
              <w:lang w:val="en-US" w:eastAsia="zh-CN"/>
            </w:rPr>
            <w:fldChar w:fldCharType="end"/>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_Toc23459 </w:instrText>
          </w:r>
          <w:r>
            <w:rPr>
              <w:rFonts w:hint="default" w:ascii="Times New Roman" w:hAnsi="Times New Roman" w:cs="Times New Roman"/>
              <w:lang w:val="en-US" w:eastAsia="zh-CN"/>
            </w:rPr>
            <w:fldChar w:fldCharType="separate"/>
          </w:r>
          <w:r>
            <w:rPr>
              <w:rFonts w:hint="eastAsia" w:ascii="Times New Roman" w:hAnsi="Times New Roman" w:cs="Times New Roman"/>
              <w:lang w:val="en-US" w:eastAsia="zh-CN"/>
            </w:rPr>
            <w:t xml:space="preserve">第三章 </w:t>
          </w:r>
          <w:r>
            <w:rPr>
              <w:rFonts w:hint="default" w:ascii="Times New Roman" w:hAnsi="Times New Roman" w:cs="Times New Roman"/>
              <w:lang w:val="en-US" w:eastAsia="zh-CN"/>
            </w:rPr>
            <w:t>合 同 书 样 式 及 主 要 条 款</w:t>
          </w:r>
          <w:r>
            <w:tab/>
          </w:r>
          <w:r>
            <w:fldChar w:fldCharType="begin"/>
          </w:r>
          <w:r>
            <w:instrText xml:space="preserve"> PAGEREF _Toc23459 \h </w:instrText>
          </w:r>
          <w:r>
            <w:fldChar w:fldCharType="separate"/>
          </w:r>
          <w:r>
            <w:t>23</w:t>
          </w:r>
          <w:r>
            <w:fldChar w:fldCharType="end"/>
          </w:r>
          <w:r>
            <w:rPr>
              <w:rFonts w:hint="default" w:ascii="Times New Roman" w:hAnsi="Times New Roman" w:cs="Times New Roman"/>
              <w:lang w:val="en-US" w:eastAsia="zh-CN"/>
            </w:rPr>
            <w:fldChar w:fldCharType="end"/>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_Toc31320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第四章 询 价 响 应 文 件 格 式</w:t>
          </w:r>
          <w:r>
            <w:tab/>
          </w:r>
          <w:r>
            <w:fldChar w:fldCharType="begin"/>
          </w:r>
          <w:r>
            <w:instrText xml:space="preserve"> PAGEREF _Toc31320 \h </w:instrText>
          </w:r>
          <w:r>
            <w:fldChar w:fldCharType="separate"/>
          </w:r>
          <w:r>
            <w:t>32</w:t>
          </w:r>
          <w:r>
            <w:fldChar w:fldCharType="end"/>
          </w:r>
          <w:r>
            <w:rPr>
              <w:rFonts w:hint="default" w:ascii="Times New Roman" w:hAnsi="Times New Roman" w:cs="Times New Roman"/>
              <w:lang w:val="en-US" w:eastAsia="zh-CN"/>
            </w:rPr>
            <w:fldChar w:fldCharType="end"/>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_Toc18090 </w:instrText>
          </w:r>
          <w:r>
            <w:rPr>
              <w:rFonts w:hint="default" w:ascii="Times New Roman" w:hAnsi="Times New Roman" w:cs="Times New Roman"/>
              <w:lang w:val="en-US" w:eastAsia="zh-CN"/>
            </w:rPr>
            <w:fldChar w:fldCharType="separate"/>
          </w:r>
          <w:r>
            <w:rPr>
              <w:rFonts w:hint="default"/>
              <w:lang w:val="en-US" w:eastAsia="zh-CN"/>
            </w:rPr>
            <w:t>第五章 采 购 需 求</w:t>
          </w:r>
          <w:r>
            <w:tab/>
          </w:r>
          <w:r>
            <w:fldChar w:fldCharType="begin"/>
          </w:r>
          <w:r>
            <w:instrText xml:space="preserve"> PAGEREF _Toc18090 \h </w:instrText>
          </w:r>
          <w:r>
            <w:fldChar w:fldCharType="separate"/>
          </w:r>
          <w:r>
            <w:t>46</w:t>
          </w:r>
          <w:r>
            <w:fldChar w:fldCharType="end"/>
          </w:r>
          <w:r>
            <w:rPr>
              <w:rFonts w:hint="default" w:ascii="Times New Roman" w:hAnsi="Times New Roman" w:cs="Times New Roman"/>
              <w:lang w:val="en-US" w:eastAsia="zh-CN"/>
            </w:rPr>
            <w:fldChar w:fldCharType="end"/>
          </w:r>
        </w:p>
        <w:p>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_Toc6354 </w:instrText>
          </w:r>
          <w:r>
            <w:rPr>
              <w:rFonts w:hint="default" w:ascii="Times New Roman" w:hAnsi="Times New Roman" w:cs="Times New Roman"/>
              <w:lang w:val="en-US" w:eastAsia="zh-CN"/>
            </w:rPr>
            <w:fldChar w:fldCharType="separate"/>
          </w:r>
          <w:r>
            <w:rPr>
              <w:rFonts w:hint="default"/>
              <w:lang w:val="en-US" w:eastAsia="zh-CN"/>
            </w:rPr>
            <w:t>第六章 评 审 办 法</w:t>
          </w:r>
          <w:r>
            <w:tab/>
          </w:r>
          <w:r>
            <w:fldChar w:fldCharType="begin"/>
          </w:r>
          <w:r>
            <w:instrText xml:space="preserve"> PAGEREF _Toc6354 \h </w:instrText>
          </w:r>
          <w:r>
            <w:fldChar w:fldCharType="separate"/>
          </w:r>
          <w:r>
            <w:t>51</w:t>
          </w:r>
          <w:r>
            <w:fldChar w:fldCharType="end"/>
          </w:r>
          <w:r>
            <w:rPr>
              <w:rFonts w:hint="default" w:ascii="Times New Roman" w:hAnsi="Times New Roman" w:cs="Times New Roman"/>
              <w:lang w:val="en-US" w:eastAsia="zh-CN"/>
            </w:rPr>
            <w:fldChar w:fldCharType="end"/>
          </w:r>
        </w:p>
        <w:p>
          <w:pPr>
            <w:pStyle w:val="3"/>
            <w:numPr>
              <w:ilvl w:val="0"/>
              <w:numId w:val="0"/>
            </w:numPr>
            <w:bidi w:val="0"/>
            <w:jc w:val="both"/>
            <w:outlineLvl w:val="9"/>
            <w:rPr>
              <w:rFonts w:hint="default" w:ascii="Times New Roman" w:hAnsi="Times New Roman" w:cs="Times New Roman"/>
              <w:lang w:val="en-US" w:eastAsia="zh-CN"/>
            </w:rPr>
          </w:pPr>
          <w:r>
            <w:rPr>
              <w:rFonts w:hint="default" w:ascii="Times New Roman" w:hAnsi="Times New Roman" w:cs="Times New Roman"/>
              <w:lang w:val="en-US" w:eastAsia="zh-CN"/>
            </w:rPr>
            <w:fldChar w:fldCharType="end"/>
          </w:r>
        </w:p>
      </w:sdtContent>
    </w:sdt>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pStyle w:val="2"/>
        <w:rPr>
          <w:rFonts w:hint="default"/>
          <w:lang w:val="en-US" w:eastAsia="zh-CN"/>
        </w:rPr>
      </w:pPr>
    </w:p>
    <w:p>
      <w:pPr>
        <w:rPr>
          <w:rFonts w:hint="default" w:ascii="Times New Roman" w:hAnsi="Times New Roman" w:cs="Times New Roman"/>
          <w:lang w:val="en-US" w:eastAsia="zh-CN"/>
        </w:rPr>
      </w:pPr>
    </w:p>
    <w:p>
      <w:pPr>
        <w:pStyle w:val="3"/>
        <w:numPr>
          <w:ilvl w:val="0"/>
          <w:numId w:val="1"/>
        </w:numPr>
        <w:bidi w:val="0"/>
        <w:rPr>
          <w:rFonts w:hint="default" w:ascii="Times New Roman" w:hAnsi="Times New Roman" w:cs="Times New Roman"/>
          <w:lang w:val="en-US" w:eastAsia="zh-CN"/>
        </w:rPr>
      </w:pPr>
      <w:bookmarkStart w:id="0" w:name="_Toc7992"/>
      <w:r>
        <w:rPr>
          <w:rFonts w:hint="default" w:ascii="Times New Roman" w:hAnsi="Times New Roman" w:cs="Times New Roman"/>
          <w:lang w:val="en-US" w:eastAsia="zh-CN"/>
        </w:rPr>
        <w:t>询 价 公 告</w:t>
      </w:r>
      <w:bookmarkEnd w:id="0"/>
    </w:p>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6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大理州第二人民医院2025年度部份高效液相色谱试剂耗材采购项目（二次）</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w:t>
      </w:r>
      <w:r>
        <w:rPr>
          <w:rFonts w:hint="eastAsia" w:ascii="Times New Roman" w:hAnsi="Times New Roman" w:cs="Times New Roman"/>
          <w:b w:val="0"/>
          <w:bCs w:val="0"/>
          <w:color w:val="auto"/>
          <w:sz w:val="32"/>
          <w:szCs w:val="32"/>
          <w:u w:val="none" w:color="auto"/>
          <w:lang w:val="en-US" w:eastAsia="zh-CN"/>
        </w:rPr>
        <w:t>于2025年6月5日17：00前按要求报名，</w:t>
      </w:r>
      <w:r>
        <w:rPr>
          <w:rFonts w:hint="default" w:ascii="Times New Roman" w:hAnsi="Times New Roman" w:eastAsia="方正仿宋_GBK" w:cs="Times New Roman"/>
          <w:b w:val="0"/>
          <w:bCs w:val="0"/>
          <w:color w:val="auto"/>
          <w:sz w:val="32"/>
          <w:szCs w:val="32"/>
          <w:u w:val="none" w:color="auto"/>
          <w:lang w:val="en-US" w:eastAsia="zh-CN"/>
        </w:rPr>
        <w:t>并于</w:t>
      </w:r>
      <w:r>
        <w:rPr>
          <w:rFonts w:hint="default" w:ascii="Times New Roman" w:hAnsi="Times New Roman" w:eastAsia="方正仿宋_GBK" w:cs="Times New Roman"/>
          <w:b w:val="0"/>
          <w:bCs w:val="0"/>
          <w:color w:val="auto"/>
          <w:sz w:val="32"/>
          <w:szCs w:val="32"/>
          <w:highlight w:val="none"/>
          <w:u w:val="none" w:color="auto"/>
          <w:lang w:val="en-US" w:eastAsia="zh-CN"/>
        </w:rPr>
        <w:t>202</w:t>
      </w:r>
      <w:r>
        <w:rPr>
          <w:rFonts w:hint="eastAsia" w:ascii="Times New Roman" w:hAnsi="Times New Roman" w:cs="Times New Roman"/>
          <w:b w:val="0"/>
          <w:bCs w:val="0"/>
          <w:color w:val="auto"/>
          <w:sz w:val="32"/>
          <w:szCs w:val="32"/>
          <w:highlight w:val="none"/>
          <w:u w:val="none" w:color="auto"/>
          <w:lang w:val="en-US" w:eastAsia="zh-CN"/>
        </w:rPr>
        <w:t>5年6月12日14：30</w:t>
      </w:r>
      <w:r>
        <w:rPr>
          <w:rFonts w:hint="default" w:ascii="Times New Roman" w:hAnsi="Times New Roman" w:eastAsia="方正仿宋_GBK" w:cs="Times New Roman"/>
          <w:b w:val="0"/>
          <w:bCs w:val="0"/>
          <w:color w:val="auto"/>
          <w:sz w:val="32"/>
          <w:szCs w:val="32"/>
          <w:u w:val="none" w:color="auto"/>
          <w:lang w:val="en-US" w:eastAsia="zh-CN"/>
        </w:rPr>
        <w:t>（北京时间）前提交询价响应文件。</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default"/>
          <w:lang w:val="en-US" w:eastAsia="zh-CN"/>
        </w:rPr>
        <w:t>一、项目基本情况</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ascii="Times New Roman" w:hAnsi="Times New Roman" w:eastAsia="方正仿宋_GBK" w:cs="Times New Roman"/>
          <w:b w:val="0"/>
          <w:bCs w:val="0"/>
          <w:color w:val="auto"/>
          <w:szCs w:val="32"/>
          <w:u w:val="none" w:color="auto"/>
          <w:lang w:val="en-US" w:eastAsia="zh-CN"/>
        </w:rPr>
      </w:pPr>
      <w:r>
        <w:rPr>
          <w:rFonts w:hint="eastAsia"/>
          <w:lang w:val="en-US" w:eastAsia="zh-CN"/>
        </w:rPr>
        <w:t>（一）</w:t>
      </w:r>
      <w:r>
        <w:rPr>
          <w:rFonts w:hint="default"/>
          <w:lang w:val="en-US" w:eastAsia="zh-CN"/>
        </w:rPr>
        <w:t>项目编号：</w:t>
      </w:r>
      <w:r>
        <w:rPr>
          <w:rFonts w:hint="eastAsia" w:ascii="Times New Roman" w:hAnsi="Times New Roman" w:cs="Times New Roman"/>
          <w:b w:val="0"/>
          <w:bCs w:val="0"/>
          <w:color w:val="auto"/>
          <w:szCs w:val="32"/>
          <w:u w:val="none" w:color="auto"/>
          <w:lang w:val="en-US" w:eastAsia="zh-CN"/>
        </w:rPr>
        <w:t>DLZEYSBK-2025-01</w:t>
      </w:r>
      <w:r>
        <w:rPr>
          <w:rFonts w:hint="default" w:ascii="Times New Roman" w:hAnsi="Times New Roman" w:eastAsia="方正仿宋_GBK" w:cs="Times New Roman"/>
          <w:b w:val="0"/>
          <w:bCs w:val="0"/>
          <w:color w:val="auto"/>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jc w:val="lef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eastAsia" w:ascii="Times New Roman" w:hAnsi="Times New Roman" w:cs="Times New Roman"/>
          <w:b w:val="0"/>
          <w:bCs w:val="0"/>
          <w:color w:val="auto"/>
          <w:sz w:val="32"/>
          <w:szCs w:val="32"/>
          <w:u w:val="none" w:color="auto"/>
          <w:lang w:val="en-US" w:eastAsia="zh-CN"/>
        </w:rPr>
        <w:t>（二）</w:t>
      </w:r>
      <w:r>
        <w:rPr>
          <w:rFonts w:hint="default" w:ascii="Times New Roman" w:hAnsi="Times New Roman" w:eastAsia="方正仿宋_GBK" w:cs="Times New Roman"/>
          <w:b w:val="0"/>
          <w:bCs w:val="0"/>
          <w:color w:val="auto"/>
          <w:sz w:val="32"/>
          <w:szCs w:val="32"/>
          <w:u w:val="none" w:color="auto"/>
          <w:lang w:val="en-US" w:eastAsia="zh-CN"/>
        </w:rPr>
        <w:t>项目名称：</w:t>
      </w: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大理州第二人民医院2025年度部份高效液相色谱试剂耗材采购项目（二次）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FF0000"/>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（三）</w:t>
      </w:r>
      <w:r>
        <w:rPr>
          <w:rFonts w:hint="default" w:ascii="Times New Roman" w:hAnsi="Times New Roman" w:eastAsia="方正仿宋_GBK" w:cs="Times New Roman"/>
          <w:b w:val="0"/>
          <w:bCs w:val="0"/>
          <w:color w:val="auto"/>
          <w:sz w:val="32"/>
          <w:szCs w:val="32"/>
          <w:u w:val="none" w:color="auto"/>
          <w:lang w:val="en-US" w:eastAsia="zh-CN"/>
        </w:rPr>
        <w:t>采购方式：询价（</w:t>
      </w:r>
      <w:r>
        <w:rPr>
          <w:rFonts w:hint="eastAsia" w:ascii="Times New Roman" w:hAnsi="Times New Roman" w:cs="Times New Roman"/>
          <w:b w:val="0"/>
          <w:bCs w:val="0"/>
          <w:color w:val="auto"/>
          <w:sz w:val="32"/>
          <w:szCs w:val="32"/>
          <w:u w:val="none" w:color="auto"/>
          <w:lang w:val="en-US" w:eastAsia="zh-CN"/>
        </w:rPr>
        <w:t>院内</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（四）</w:t>
      </w:r>
      <w:r>
        <w:rPr>
          <w:rFonts w:hint="default" w:ascii="Times New Roman" w:hAnsi="Times New Roman" w:cs="Times New Roman"/>
          <w:lang w:val="en-US" w:eastAsia="zh-CN"/>
        </w:rPr>
        <w:t>预算单价（元）</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lang w:val="en-US" w:eastAsia="zh-CN"/>
        </w:rPr>
        <w:t>详见第五章采购需求</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（五）</w:t>
      </w:r>
      <w:r>
        <w:rPr>
          <w:rFonts w:hint="default" w:ascii="Times New Roman" w:hAnsi="Times New Roman" w:eastAsia="方正仿宋_GBK" w:cs="Times New Roman"/>
          <w:b w:val="0"/>
          <w:bCs w:val="0"/>
          <w:color w:val="auto"/>
          <w:sz w:val="32"/>
          <w:szCs w:val="32"/>
          <w:u w:val="none" w:color="auto"/>
          <w:lang w:val="en-US" w:eastAsia="zh-CN"/>
        </w:rPr>
        <w:t>资金来源：自筹资金</w:t>
      </w:r>
      <w:r>
        <w:rPr>
          <w:rFonts w:hint="default" w:ascii="Times New Roman" w:hAnsi="Times New Roman" w:cs="Times New Roman"/>
          <w:b w:val="0"/>
          <w:bCs w:val="0"/>
          <w:color w:val="auto"/>
          <w:sz w:val="32"/>
          <w:szCs w:val="32"/>
          <w:u w:val="none" w:color="auto"/>
          <w:lang w:val="en-US" w:eastAsia="zh-CN"/>
        </w:rPr>
        <w:t>，已落实</w:t>
      </w:r>
      <w:r>
        <w:rPr>
          <w:rFonts w:hint="eastAsia" w:ascii="Times New Roman" w:hAnsi="Times New Roman" w:cs="Times New Roman"/>
          <w:b w:val="0"/>
          <w:bCs w:val="0"/>
          <w:color w:val="auto"/>
          <w:sz w:val="32"/>
          <w:szCs w:val="32"/>
          <w:u w:val="none" w:color="auto"/>
          <w:lang w:val="en-US" w:eastAsia="zh-CN"/>
        </w:rPr>
        <w:t>；</w:t>
      </w:r>
    </w:p>
    <w:p>
      <w:pPr>
        <w:pStyle w:val="2"/>
        <w:keepNext w:val="0"/>
        <w:keepLines w:val="0"/>
        <w:pageBreakBefore w:val="0"/>
        <w:widowControl w:val="0"/>
        <w:kinsoku/>
        <w:wordWrap/>
        <w:overflowPunct/>
        <w:topLinePunct w:val="0"/>
        <w:autoSpaceDE/>
        <w:autoSpaceDN/>
        <w:bidi w:val="0"/>
        <w:snapToGrid/>
        <w:spacing w:line="460" w:lineRule="exact"/>
        <w:ind w:right="0"/>
        <w:textAlignment w:val="auto"/>
        <w:rPr>
          <w:rFonts w:hint="default" w:ascii="Times New Roman" w:hAnsi="Times New Roman" w:cs="Times New Roman"/>
          <w:lang w:val="en-US" w:eastAsia="zh-CN"/>
        </w:rPr>
      </w:pPr>
      <w:r>
        <w:rPr>
          <w:rFonts w:hint="eastAsia" w:ascii="Times New Roman" w:hAnsi="Times New Roman" w:cs="Times New Roman"/>
          <w:b w:val="0"/>
          <w:bCs w:val="0"/>
          <w:color w:val="auto"/>
          <w:sz w:val="32"/>
          <w:szCs w:val="32"/>
          <w:u w:val="none" w:color="auto"/>
          <w:lang w:val="en-US" w:eastAsia="zh-CN"/>
        </w:rPr>
        <w:t>（六）</w:t>
      </w:r>
      <w:r>
        <w:rPr>
          <w:rFonts w:hint="default" w:ascii="Times New Roman" w:hAnsi="Times New Roman" w:cs="Times New Roman"/>
          <w:b w:val="0"/>
          <w:bCs w:val="0"/>
          <w:color w:val="auto"/>
          <w:sz w:val="32"/>
          <w:szCs w:val="32"/>
          <w:u w:val="none" w:color="auto"/>
          <w:lang w:val="en-US" w:eastAsia="zh-CN"/>
        </w:rPr>
        <w:t>结算方式：按合同约定，以实际采购量结算</w:t>
      </w:r>
      <w:r>
        <w:rPr>
          <w:rFonts w:hint="eastAsia" w:ascii="Times New Roman" w:hAnsi="Times New Roman"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（七）</w:t>
      </w:r>
      <w:r>
        <w:rPr>
          <w:rFonts w:hint="default" w:ascii="Times New Roman" w:hAnsi="Times New Roman" w:eastAsia="方正仿宋_GBK" w:cs="Times New Roman"/>
          <w:b w:val="0"/>
          <w:bCs w:val="0"/>
          <w:color w:val="auto"/>
          <w:sz w:val="32"/>
          <w:szCs w:val="32"/>
          <w:u w:val="none" w:color="auto"/>
          <w:lang w:val="en-US" w:eastAsia="zh-CN"/>
        </w:rPr>
        <w:t>采购需求：详见第五章采购需求</w:t>
      </w:r>
      <w:r>
        <w:rPr>
          <w:rFonts w:hint="eastAsia" w:ascii="Times New Roman" w:hAnsi="Times New Roman"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（八）</w:t>
      </w:r>
      <w:r>
        <w:rPr>
          <w:rFonts w:hint="default" w:ascii="Times New Roman" w:hAnsi="Times New Roman" w:eastAsia="方正仿宋_GBK" w:cs="Times New Roman"/>
          <w:b w:val="0"/>
          <w:bCs w:val="0"/>
          <w:color w:val="auto"/>
          <w:sz w:val="32"/>
          <w:szCs w:val="32"/>
          <w:u w:val="none" w:color="auto"/>
          <w:lang w:val="en-US" w:eastAsia="zh-CN"/>
        </w:rPr>
        <w:t>交货期：</w:t>
      </w:r>
      <w:r>
        <w:rPr>
          <w:rFonts w:hint="default" w:ascii="Times New Roman" w:hAnsi="Times New Roman" w:cs="Times New Roman"/>
          <w:b w:val="0"/>
          <w:bCs w:val="0"/>
          <w:color w:val="auto"/>
          <w:sz w:val="32"/>
          <w:szCs w:val="32"/>
          <w:u w:val="none" w:color="auto"/>
          <w:lang w:val="en-US" w:eastAsia="zh-CN"/>
        </w:rPr>
        <w:t>根据合同约定执行</w:t>
      </w:r>
      <w:r>
        <w:rPr>
          <w:rFonts w:hint="eastAsia" w:ascii="Times New Roman" w:hAnsi="Times New Roman" w:cs="Times New Roman"/>
          <w:b w:val="0"/>
          <w:bCs w:val="0"/>
          <w:color w:val="auto"/>
          <w:sz w:val="32"/>
          <w:szCs w:val="32"/>
          <w:u w:val="none" w:color="auto"/>
          <w:lang w:val="en-US" w:eastAsia="zh-CN"/>
        </w:rPr>
        <w:t>；</w:t>
      </w:r>
    </w:p>
    <w:p>
      <w:pPr>
        <w:pStyle w:val="2"/>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ascii="Times New Roman" w:hAnsi="Times New Roman" w:cs="Times New Roman"/>
          <w:b w:val="0"/>
          <w:bCs w:val="0"/>
          <w:color w:val="auto"/>
          <w:sz w:val="32"/>
          <w:szCs w:val="32"/>
          <w:u w:val="none" w:color="auto"/>
          <w:lang w:val="en-US" w:eastAsia="zh-CN"/>
        </w:rPr>
        <w:t>（九）采购周期：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（遇特殊政策除外）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，合同一年一签。</w:t>
      </w:r>
      <w:r>
        <w:rPr>
          <w:rFonts w:hint="eastAsia" w:ascii="Times New Roman" w:hAnsi="Times New Roman" w:eastAsia="方正仿宋_GBK" w:cs="Times New Roman"/>
          <w:sz w:val="32"/>
          <w:szCs w:val="32"/>
          <w:lang w:val="en-US" w:eastAsia="zh-CN"/>
        </w:rPr>
        <w:t>每年合同到期后采购人根据考核结果签订下一年供货合同，若考核不合格，采购人不再签订下一年供货合同</w:t>
      </w:r>
      <w:r>
        <w:rPr>
          <w:rFonts w:hint="eastAsia"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（十）</w:t>
      </w:r>
      <w:r>
        <w:rPr>
          <w:rFonts w:hint="default" w:ascii="Times New Roman" w:hAnsi="Times New Roman" w:eastAsia="方正仿宋_GBK" w:cs="Times New Roman"/>
          <w:b w:val="0"/>
          <w:bCs w:val="0"/>
          <w:color w:val="auto"/>
          <w:sz w:val="32"/>
          <w:szCs w:val="32"/>
          <w:u w:val="none" w:color="auto"/>
          <w:lang w:val="en-US" w:eastAsia="zh-CN"/>
        </w:rPr>
        <w:t>资格审查方式：资格后审</w:t>
      </w:r>
      <w:r>
        <w:rPr>
          <w:rFonts w:hint="eastAsia" w:ascii="Times New Roman" w:hAnsi="Times New Roman" w:cs="Times New Roman"/>
          <w:b w:val="0"/>
          <w:bCs w:val="0"/>
          <w:color w:val="auto"/>
          <w:sz w:val="32"/>
          <w:szCs w:val="32"/>
          <w:u w:val="none" w:color="auto"/>
          <w:lang w:val="en-US" w:eastAsia="zh-CN"/>
        </w:rPr>
        <w:t>；</w:t>
      </w:r>
    </w:p>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val="0"/>
          <w:bCs w:val="0"/>
          <w:color w:val="auto"/>
          <w:sz w:val="32"/>
          <w:szCs w:val="32"/>
          <w:u w:val="none" w:color="auto"/>
          <w:lang w:val="en-US" w:eastAsia="zh-CN"/>
        </w:rPr>
        <w:t>（十一）</w:t>
      </w:r>
      <w:r>
        <w:rPr>
          <w:rFonts w:hint="default" w:ascii="Times New Roman" w:hAnsi="Times New Roman" w:eastAsia="方正仿宋_GBK" w:cs="Times New Roman"/>
          <w:b w:val="0"/>
          <w:bCs w:val="0"/>
          <w:color w:val="auto"/>
          <w:sz w:val="32"/>
          <w:szCs w:val="32"/>
          <w:u w:val="none" w:color="auto"/>
          <w:lang w:val="en-US" w:eastAsia="zh-CN"/>
        </w:rPr>
        <w:t>本项目是否提交投标保证金：否</w:t>
      </w:r>
    </w:p>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（十二）</w:t>
      </w:r>
      <w:r>
        <w:rPr>
          <w:rFonts w:hint="default" w:ascii="Times New Roman" w:hAnsi="Times New Roman" w:eastAsia="方正仿宋_GBK" w:cs="Times New Roman"/>
          <w:b w:val="0"/>
          <w:bCs w:val="0"/>
          <w:color w:val="auto"/>
          <w:kern w:val="2"/>
          <w:sz w:val="32"/>
          <w:szCs w:val="32"/>
          <w:u w:val="none" w:color="auto"/>
          <w:lang w:val="en-US" w:eastAsia="zh-CN" w:bidi="ar-SA"/>
        </w:rPr>
        <w:t>本项目是否允许转包或分包：否</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（十三）</w:t>
      </w:r>
      <w:r>
        <w:rPr>
          <w:rFonts w:hint="default"/>
          <w:lang w:val="en-US" w:eastAsia="zh-CN"/>
        </w:rPr>
        <w:t>交货地点：大理州第二人民医院指定地点</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default"/>
          <w:lang w:val="en-US" w:eastAsia="zh-CN"/>
        </w:rPr>
        <w:t>二、申请人的资格要求</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（一）</w:t>
      </w:r>
      <w:r>
        <w:rPr>
          <w:rFonts w:hint="default" w:ascii="Times New Roman" w:hAnsi="Times New Roman" w:eastAsia="方正仿宋_GBK" w:cs="Times New Roman"/>
          <w:color w:val="auto"/>
          <w:kern w:val="0"/>
          <w:sz w:val="32"/>
          <w:szCs w:val="32"/>
          <w:highlight w:val="none"/>
          <w:lang w:val="en-US" w:eastAsia="zh-CN"/>
        </w:rPr>
        <w:t>满足《中华人民共和国政府采购法》第二十二条规定：</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1.供应商具有独立承担民事责任的能力（提供营业执照扫描件）；</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供应商具有依法缴纳税收的良好记录（须提供缴税所属时间在</w:t>
      </w:r>
      <w:r>
        <w:rPr>
          <w:rFonts w:hint="eastAsia" w:ascii="Times New Roman" w:hAnsi="Times New Roman" w:cs="Times New Roman"/>
          <w:color w:val="auto"/>
          <w:kern w:val="0"/>
          <w:sz w:val="32"/>
          <w:szCs w:val="32"/>
          <w:highlight w:val="none"/>
          <w:lang w:val="en-US" w:eastAsia="zh-CN"/>
        </w:rPr>
        <w:t>2024年6</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供应商具有依法缴纳社会保障资金的良好记录（须提供缴费所属时间在</w:t>
      </w:r>
      <w:r>
        <w:rPr>
          <w:rFonts w:hint="eastAsia" w:ascii="Times New Roman" w:hAnsi="Times New Roman" w:cs="Times New Roman"/>
          <w:color w:val="auto"/>
          <w:kern w:val="0"/>
          <w:sz w:val="32"/>
          <w:szCs w:val="32"/>
          <w:highlight w:val="none"/>
          <w:lang w:val="en-US" w:eastAsia="zh-CN"/>
        </w:rPr>
        <w:t>2024年6</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Times New Roman" w:hAnsi="Times New Roman" w:eastAsia="方正仿宋_GBK" w:cs="Times New Roman"/>
          <w:color w:val="auto"/>
          <w:kern w:val="0"/>
          <w:sz w:val="32"/>
          <w:szCs w:val="32"/>
          <w:highlight w:val="none"/>
          <w:lang w:val="en-US" w:eastAsia="zh-CN"/>
        </w:rPr>
        <w:t>及个体工商户</w:t>
      </w:r>
      <w:r>
        <w:rPr>
          <w:rFonts w:hint="default" w:ascii="Times New Roman" w:hAnsi="Times New Roman" w:eastAsia="方正仿宋_GBK" w:cs="Times New Roman"/>
          <w:color w:val="auto"/>
          <w:kern w:val="0"/>
          <w:sz w:val="32"/>
          <w:szCs w:val="32"/>
          <w:highlight w:val="none"/>
          <w:lang w:val="en-US" w:eastAsia="zh-CN"/>
        </w:rPr>
        <w:t>无须提供证明材料）；</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供应商具有履行合同所必需的设备和专业技术能力（投标人提供书面声明或证明材料）；</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（二）</w:t>
      </w:r>
      <w:r>
        <w:rPr>
          <w:rFonts w:hint="default" w:ascii="Times New Roman" w:hAnsi="Times New Roman" w:eastAsia="方正仿宋_GBK" w:cs="Times New Roman"/>
          <w:color w:val="auto"/>
          <w:kern w:val="0"/>
          <w:sz w:val="32"/>
          <w:szCs w:val="32"/>
          <w:highlight w:val="none"/>
          <w:lang w:val="en-US" w:eastAsia="zh-CN"/>
        </w:rPr>
        <w:t>落实政府采购政策需满足的资格要求：无；</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（三）</w:t>
      </w:r>
      <w:r>
        <w:rPr>
          <w:rFonts w:hint="default" w:ascii="Times New Roman" w:hAnsi="Times New Roman" w:eastAsia="方正仿宋_GBK" w:cs="Times New Roman"/>
          <w:color w:val="auto"/>
          <w:kern w:val="0"/>
          <w:sz w:val="32"/>
          <w:szCs w:val="32"/>
          <w:highlight w:val="none"/>
          <w:lang w:val="en-US" w:eastAsia="zh-CN"/>
        </w:rPr>
        <w:t>本项目的特定资格要求：</w:t>
      </w:r>
    </w:p>
    <w:p>
      <w:pPr>
        <w:keepNext w:val="0"/>
        <w:keepLines w:val="0"/>
        <w:pageBreakBefore w:val="0"/>
        <w:widowControl w:val="0"/>
        <w:kinsoku/>
        <w:wordWrap/>
        <w:overflowPunct/>
        <w:topLinePunct w:val="0"/>
        <w:autoSpaceDE/>
        <w:autoSpaceDN/>
        <w:bidi w:val="0"/>
        <w:snapToGrid/>
        <w:spacing w:line="460" w:lineRule="exact"/>
        <w:ind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SA"/>
        </w:rPr>
        <w:t>本项目的特定资格要求：投标人为代理商或经销商的，须提供</w:t>
      </w:r>
      <w:r>
        <w:rPr>
          <w:rFonts w:hint="eastAsia" w:ascii="Times New Roman" w:hAnsi="Times New Roman" w:cs="Times New Roman"/>
          <w:color w:val="auto"/>
          <w:kern w:val="0"/>
          <w:sz w:val="32"/>
          <w:szCs w:val="32"/>
          <w:highlight w:val="none"/>
          <w:lang w:val="en-US" w:eastAsia="zh-CN" w:bidi="ar-SA"/>
        </w:rPr>
        <w:t>危化品经营许可证</w:t>
      </w:r>
      <w:r>
        <w:rPr>
          <w:rFonts w:hint="default" w:ascii="Times New Roman" w:hAnsi="Times New Roman"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所投产品制造商的备案资</w:t>
      </w:r>
      <w:r>
        <w:rPr>
          <w:rFonts w:hint="eastAsia" w:ascii="Times New Roman" w:hAnsi="Times New Roman" w:cs="Times New Roman"/>
          <w:color w:val="auto"/>
          <w:kern w:val="0"/>
          <w:sz w:val="32"/>
          <w:szCs w:val="32"/>
          <w:highlight w:val="none"/>
          <w:lang w:val="en-US" w:eastAsia="zh-CN" w:bidi="ar-SA"/>
        </w:rPr>
        <w:t>料，</w:t>
      </w:r>
      <w:r>
        <w:rPr>
          <w:rFonts w:hint="default" w:ascii="Times New Roman" w:hAnsi="Times New Roman" w:eastAsia="方正仿宋_GBK" w:cs="Times New Roman"/>
          <w:color w:val="auto"/>
          <w:kern w:val="0"/>
          <w:sz w:val="32"/>
          <w:szCs w:val="32"/>
          <w:highlight w:val="none"/>
          <w:lang w:val="en-US" w:eastAsia="zh-CN" w:bidi="ar-SA"/>
        </w:rPr>
        <w:t>投标人为制造商的，须提供</w:t>
      </w:r>
      <w:r>
        <w:rPr>
          <w:rFonts w:hint="eastAsia" w:ascii="Times New Roman" w:hAnsi="Times New Roman" w:eastAsia="方正仿宋_GBK" w:cs="Times New Roman"/>
          <w:color w:val="auto"/>
          <w:kern w:val="0"/>
          <w:sz w:val="32"/>
          <w:szCs w:val="32"/>
          <w:highlight w:val="none"/>
          <w:lang w:val="en-US" w:eastAsia="zh-CN" w:bidi="ar-SA"/>
        </w:rPr>
        <w:t>备案资</w:t>
      </w:r>
      <w:r>
        <w:rPr>
          <w:rFonts w:hint="eastAsia" w:ascii="Times New Roman" w:hAnsi="Times New Roman" w:cs="Times New Roman"/>
          <w:color w:val="auto"/>
          <w:kern w:val="0"/>
          <w:sz w:val="32"/>
          <w:szCs w:val="32"/>
          <w:highlight w:val="none"/>
          <w:lang w:val="en-US" w:eastAsia="zh-CN" w:bidi="ar-SA"/>
        </w:rPr>
        <w:t>料，</w:t>
      </w:r>
      <w:r>
        <w:rPr>
          <w:rFonts w:hint="default" w:ascii="Times New Roman" w:hAnsi="Times New Roman" w:eastAsia="方正仿宋_GBK" w:cs="Times New Roman"/>
          <w:color w:val="auto"/>
          <w:kern w:val="0"/>
          <w:sz w:val="32"/>
          <w:szCs w:val="32"/>
          <w:highlight w:val="none"/>
          <w:lang w:val="en-US" w:eastAsia="zh-CN" w:bidi="ar-SA"/>
        </w:rPr>
        <w:t xml:space="preserve">注：提供的证件均在有效期范围内。 </w:t>
      </w:r>
    </w:p>
    <w:p>
      <w:pPr>
        <w:pStyle w:val="7"/>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法律、行政法规规定的其他条件：根据财库〔2016〕125号文件《财政部关于在政府采购活动中查询及使用信用记录有关问题的通知》规定，投标人未被列入</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信用中国</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网站（www.creditchina.gov.cn）</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失信被执行人、政府采购严重违法失信行为记录名单、重大税收违法失信主体</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及中国政府采购网（www.ccgp.gov.cn）</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政府采购严重违法失信行为信息记录</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3.</w:t>
      </w:r>
      <w:r>
        <w:rPr>
          <w:rFonts w:hint="default"/>
          <w:lang w:val="en-US" w:eastAsia="zh-CN"/>
        </w:rPr>
        <w:t>根据《中华人民共和国政府采购法实施条例》第十八条规定，单位负责人为同一人或者存在直接控股、管理关系的不同供应商，不得参加同一合同项下的采购活动（提供书面声明即可）。</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4.</w:t>
      </w:r>
      <w:r>
        <w:rPr>
          <w:rFonts w:hint="default"/>
          <w:lang w:val="en-US" w:eastAsia="zh-CN"/>
        </w:rPr>
        <w:t>本项目不接受联合体投标（提供书面声明即可）。</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四、</w:t>
      </w:r>
      <w:r>
        <w:rPr>
          <w:rFonts w:hint="default"/>
          <w:lang w:val="en-US" w:eastAsia="zh-CN"/>
        </w:rPr>
        <w:t>采购文件获取</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大理州第二人民医院官网（</w:t>
      </w:r>
      <w:r>
        <w:rPr>
          <w:rFonts w:hint="default"/>
          <w:lang w:val="en-US" w:eastAsia="zh-CN"/>
        </w:rPr>
        <w:fldChar w:fldCharType="begin"/>
      </w:r>
      <w:r>
        <w:rPr>
          <w:rFonts w:hint="default"/>
          <w:lang w:val="en-US" w:eastAsia="zh-CN"/>
        </w:rPr>
        <w:instrText xml:space="preserve">HYPERLINK "http://www.dlzdermyy.com/"</w:instrText>
      </w:r>
      <w:r>
        <w:rPr>
          <w:rFonts w:hint="default"/>
          <w:lang w:val="en-US" w:eastAsia="zh-CN"/>
        </w:rPr>
        <w:fldChar w:fldCharType="separate"/>
      </w:r>
      <w:r>
        <w:rPr>
          <w:rFonts w:hint="default"/>
          <w:lang w:val="en-US" w:eastAsia="zh-CN"/>
        </w:rPr>
        <w:t>http://www.dlzdermyy.com/</w:t>
      </w:r>
      <w:r>
        <w:rPr>
          <w:rFonts w:hint="default"/>
          <w:lang w:val="en-US" w:eastAsia="zh-CN"/>
        </w:rPr>
        <w:fldChar w:fldCharType="end"/>
      </w:r>
      <w:r>
        <w:rPr>
          <w:rFonts w:hint="default"/>
          <w:lang w:val="en-US" w:eastAsia="zh-CN"/>
        </w:rPr>
        <w:t>）免费下载。</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五</w:t>
      </w:r>
      <w:r>
        <w:rPr>
          <w:rFonts w:hint="default"/>
          <w:lang w:val="en-US" w:eastAsia="zh-CN"/>
        </w:rPr>
        <w:t>、报名时间、方式、结果及注意事项</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lang w:val="en-US" w:eastAsia="zh-CN"/>
        </w:rPr>
        <w:t>（一）</w:t>
      </w:r>
      <w:r>
        <w:rPr>
          <w:rFonts w:hint="default"/>
          <w:lang w:val="en-US" w:eastAsia="zh-CN"/>
        </w:rPr>
        <w:t>报名时间：公告发布之日起</w:t>
      </w:r>
      <w:r>
        <w:rPr>
          <w:rFonts w:hint="default" w:ascii="Times New Roman" w:hAnsi="Times New Roman" w:eastAsia="方正仿宋_GBK" w:cs="Times New Roman"/>
          <w:color w:val="auto"/>
          <w:kern w:val="0"/>
          <w:sz w:val="32"/>
          <w:szCs w:val="32"/>
          <w:highlight w:val="none"/>
          <w:lang w:val="en-US" w:eastAsia="zh-CN" w:bidi="ar-SA"/>
        </w:rPr>
        <w:t>（202</w:t>
      </w:r>
      <w:r>
        <w:rPr>
          <w:rFonts w:hint="eastAsia" w:ascii="Times New Roman" w:hAnsi="Times New Roman" w:eastAsia="方正仿宋_GBK"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年</w:t>
      </w:r>
      <w:r>
        <w:rPr>
          <w:rFonts w:hint="eastAsia" w:ascii="Times New Roman" w:hAnsi="Times New Roman" w:eastAsia="方正仿宋_GBK"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月</w:t>
      </w:r>
      <w:r>
        <w:rPr>
          <w:rFonts w:hint="eastAsia" w:ascii="Times New Roman" w:hAnsi="Times New Roman" w:eastAsia="方正仿宋_GBK" w:cs="Times New Roman"/>
          <w:color w:val="auto"/>
          <w:kern w:val="0"/>
          <w:sz w:val="32"/>
          <w:szCs w:val="32"/>
          <w:highlight w:val="none"/>
          <w:lang w:val="en-US" w:eastAsia="zh-CN" w:bidi="ar-SA"/>
        </w:rPr>
        <w:t>30</w:t>
      </w:r>
      <w:r>
        <w:rPr>
          <w:rFonts w:hint="default" w:ascii="Times New Roman" w:hAnsi="Times New Roman" w:eastAsia="方正仿宋_GBK" w:cs="Times New Roman"/>
          <w:color w:val="auto"/>
          <w:kern w:val="0"/>
          <w:sz w:val="32"/>
          <w:szCs w:val="32"/>
          <w:highlight w:val="none"/>
          <w:lang w:val="en-US" w:eastAsia="zh-CN" w:bidi="ar-SA"/>
        </w:rPr>
        <w:t>日）至202</w:t>
      </w:r>
      <w:r>
        <w:rPr>
          <w:rFonts w:hint="eastAsia" w:ascii="Times New Roman" w:hAnsi="Times New Roman" w:eastAsia="方正仿宋_GBK"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年</w:t>
      </w:r>
      <w:r>
        <w:rPr>
          <w:rFonts w:hint="eastAsia" w:ascii="Times New Roman" w:hAnsi="Times New Roman" w:eastAsia="方正仿宋_GBK" w:cs="Times New Roman"/>
          <w:color w:val="auto"/>
          <w:kern w:val="0"/>
          <w:sz w:val="32"/>
          <w:szCs w:val="32"/>
          <w:highlight w:val="none"/>
          <w:lang w:val="en-US" w:eastAsia="zh-CN" w:bidi="ar-SA"/>
        </w:rPr>
        <w:t>6</w:t>
      </w:r>
      <w:r>
        <w:rPr>
          <w:rFonts w:hint="default" w:ascii="Times New Roman" w:hAnsi="Times New Roman" w:eastAsia="方正仿宋_GBK" w:cs="Times New Roman"/>
          <w:color w:val="auto"/>
          <w:kern w:val="0"/>
          <w:sz w:val="32"/>
          <w:szCs w:val="32"/>
          <w:highlight w:val="none"/>
          <w:lang w:val="en-US" w:eastAsia="zh-CN" w:bidi="ar-SA"/>
        </w:rPr>
        <w:t>月</w:t>
      </w:r>
      <w:r>
        <w:rPr>
          <w:rFonts w:hint="eastAsia" w:ascii="Times New Roman" w:hAnsi="Times New Roman" w:eastAsia="方正仿宋_GBK"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 xml:space="preserve">日17 时 </w:t>
      </w:r>
      <w:r>
        <w:rPr>
          <w:rFonts w:hint="eastAsia" w:ascii="Times New Roman" w:hAnsi="Times New Roman" w:eastAsia="方正仿宋_GBK" w:cs="Times New Roman"/>
          <w:color w:val="auto"/>
          <w:kern w:val="0"/>
          <w:sz w:val="32"/>
          <w:szCs w:val="32"/>
          <w:highlight w:val="none"/>
          <w:lang w:val="en-US" w:eastAsia="zh-CN" w:bidi="ar-SA"/>
        </w:rPr>
        <w:t>00</w:t>
      </w:r>
      <w:r>
        <w:rPr>
          <w:rFonts w:hint="default" w:ascii="Times New Roman" w:hAnsi="Times New Roman" w:eastAsia="方正仿宋_GBK" w:cs="Times New Roman"/>
          <w:color w:val="auto"/>
          <w:kern w:val="0"/>
          <w:sz w:val="32"/>
          <w:szCs w:val="32"/>
          <w:highlight w:val="none"/>
          <w:lang w:val="en-US" w:eastAsia="zh-CN" w:bidi="ar-SA"/>
        </w:rPr>
        <w:t xml:space="preserve"> 分前均可报名；</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（二）</w:t>
      </w:r>
      <w:r>
        <w:rPr>
          <w:rFonts w:hint="default"/>
          <w:lang w:val="en-US" w:eastAsia="zh-CN"/>
        </w:rPr>
        <w:t>报名方式：在规定时间内按要求填写报名表加盖公章并扫描成PDF格式发送至指定邮</w:t>
      </w:r>
      <w:r>
        <w:rPr>
          <w:rFonts w:hint="default" w:ascii="Times New Roman" w:hAnsi="Times New Roman" w:eastAsia="方正仿宋_GBK" w:cs="Times New Roman"/>
          <w:color w:val="auto"/>
          <w:kern w:val="0"/>
          <w:sz w:val="32"/>
          <w:szCs w:val="32"/>
          <w:highlight w:val="none"/>
          <w:lang w:val="en-US" w:eastAsia="zh-CN" w:bidi="ar-SA"/>
        </w:rPr>
        <w:t>箱：</w:t>
      </w:r>
      <w:r>
        <w:rPr>
          <w:rFonts w:hint="eastAsia" w:ascii="Times New Roman" w:hAnsi="Times New Roman" w:eastAsia="方正仿宋_GBK" w:cs="Times New Roman"/>
          <w:color w:val="auto"/>
          <w:kern w:val="0"/>
          <w:sz w:val="32"/>
          <w:szCs w:val="32"/>
          <w:highlight w:val="none"/>
          <w:lang w:val="en-US" w:eastAsia="zh-CN" w:bidi="ar-SA"/>
        </w:rPr>
        <w:t>sbk2350063</w:t>
      </w:r>
      <w:r>
        <w:rPr>
          <w:rFonts w:hint="default" w:ascii="Times New Roman" w:hAnsi="Times New Roman" w:eastAsia="方正仿宋_GBK" w:cs="Times New Roman"/>
          <w:color w:val="auto"/>
          <w:kern w:val="0"/>
          <w:sz w:val="32"/>
          <w:szCs w:val="32"/>
          <w:highlight w:val="none"/>
          <w:lang w:val="en-US" w:eastAsia="zh-CN" w:bidi="ar-SA"/>
        </w:rPr>
        <w:t>@126.com（见询价采购文件最后一页附件：</w:t>
      </w:r>
      <w:r>
        <w:rPr>
          <w:rFonts w:hint="eastAsia" w:ascii="Times New Roman" w:hAnsi="Times New Roman" w:eastAsia="方正仿宋_GBK" w:cs="Times New Roman"/>
          <w:color w:val="auto"/>
          <w:kern w:val="0"/>
          <w:sz w:val="32"/>
          <w:szCs w:val="32"/>
          <w:highlight w:val="none"/>
          <w:lang w:val="en-US" w:eastAsia="zh-CN" w:bidi="ar-SA"/>
        </w:rPr>
        <w:t>大理州第二人民医院2025</w:t>
      </w:r>
      <w:r>
        <w:rPr>
          <w:rFonts w:hint="eastAsia"/>
          <w:lang w:val="en-US" w:eastAsia="zh-CN"/>
        </w:rPr>
        <w:t>年度部份高效液相色谱试剂耗材采购项目（二次）</w:t>
      </w:r>
      <w:r>
        <w:rPr>
          <w:rFonts w:hint="default"/>
          <w:lang w:val="en-US" w:eastAsia="zh-CN"/>
        </w:rPr>
        <w:t>供应商报名表），报名时间以收到供应商邮件具体时间为准，报名时间截止后提交的报名材料视为无效；</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color w:val="FF0000"/>
          <w:lang w:val="en-US" w:eastAsia="zh-CN"/>
        </w:rPr>
      </w:pPr>
      <w:r>
        <w:rPr>
          <w:rFonts w:hint="eastAsia"/>
          <w:lang w:val="en-US" w:eastAsia="zh-CN"/>
        </w:rPr>
        <w:t>（三）</w:t>
      </w:r>
      <w:r>
        <w:rPr>
          <w:rFonts w:hint="default"/>
          <w:lang w:val="en-US" w:eastAsia="zh-CN"/>
        </w:rPr>
        <w:t>报名结果：采</w:t>
      </w:r>
      <w:r>
        <w:rPr>
          <w:rFonts w:hint="default"/>
          <w:color w:val="auto"/>
          <w:lang w:val="en-US" w:eastAsia="zh-CN"/>
        </w:rPr>
        <w:t>购人以供应商报名邮箱进行回复；若报名时间截止，供应商（生产厂家）报名家数不足</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color w:val="auto"/>
          <w:lang w:val="en-US" w:eastAsia="zh-CN"/>
        </w:rPr>
        <w:t>家</w:t>
      </w:r>
      <w:r>
        <w:rPr>
          <w:rFonts w:hint="default"/>
          <w:color w:val="auto"/>
          <w:lang w:val="en-US" w:eastAsia="zh-CN"/>
        </w:rPr>
        <w:t>无法进行现场开标的，采购人统一邮箱回复所有报名供应商；</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（四）</w:t>
      </w:r>
      <w:r>
        <w:rPr>
          <w:rFonts w:hint="default"/>
          <w:lang w:val="en-US" w:eastAsia="zh-CN"/>
        </w:rPr>
        <w:t>注意事项：不接受现场报名，未按规定时间提交报名材料的供应商（生产厂家）不得参与该项目采购活动。</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bookmarkStart w:id="1" w:name="_Toc530931366"/>
      <w:bookmarkStart w:id="2" w:name="_Toc530932165"/>
      <w:bookmarkStart w:id="3" w:name="_Toc531034890"/>
      <w:bookmarkStart w:id="4" w:name="_Toc4142306"/>
      <w:bookmarkStart w:id="5" w:name="_Toc530930084"/>
      <w:r>
        <w:rPr>
          <w:rFonts w:hint="eastAsia"/>
          <w:lang w:val="en-US" w:eastAsia="zh-CN"/>
        </w:rPr>
        <w:t>六</w:t>
      </w:r>
      <w:r>
        <w:rPr>
          <w:rFonts w:hint="default"/>
          <w:lang w:val="en-US" w:eastAsia="zh-CN"/>
        </w:rPr>
        <w:t>、</w:t>
      </w:r>
      <w:bookmarkEnd w:id="1"/>
      <w:bookmarkEnd w:id="2"/>
      <w:bookmarkEnd w:id="3"/>
      <w:bookmarkEnd w:id="4"/>
      <w:bookmarkEnd w:id="5"/>
      <w:r>
        <w:rPr>
          <w:rFonts w:hint="default"/>
          <w:lang w:val="en-US" w:eastAsia="zh-CN"/>
        </w:rPr>
        <w:t>提交询价响应文件截止时间、开标时间和地点</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lang w:val="en-US" w:eastAsia="zh-CN"/>
        </w:rPr>
        <w:t>（一）</w:t>
      </w:r>
      <w:r>
        <w:rPr>
          <w:rFonts w:hint="default"/>
          <w:lang w:val="en-US" w:eastAsia="zh-CN"/>
        </w:rPr>
        <w:t>提交询价响应文件截止时间、开标时间：</w:t>
      </w:r>
      <w:r>
        <w:rPr>
          <w:rFonts w:hint="default" w:ascii="Times New Roman" w:hAnsi="Times New Roman" w:eastAsia="方正仿宋_GBK" w:cs="Times New Roman"/>
          <w:color w:val="auto"/>
          <w:kern w:val="0"/>
          <w:sz w:val="32"/>
          <w:szCs w:val="32"/>
          <w:highlight w:val="none"/>
          <w:lang w:val="en-US" w:eastAsia="zh-CN" w:bidi="ar-SA"/>
        </w:rPr>
        <w:t>202</w:t>
      </w:r>
      <w:r>
        <w:rPr>
          <w:rFonts w:hint="eastAsia" w:ascii="Times New Roman" w:hAnsi="Times New Roman" w:eastAsia="方正仿宋_GBK"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年</w:t>
      </w:r>
      <w:r>
        <w:rPr>
          <w:rFonts w:hint="eastAsia" w:ascii="Times New Roman" w:hAnsi="Times New Roman" w:eastAsia="方正仿宋_GBK" w:cs="Times New Roman"/>
          <w:color w:val="auto"/>
          <w:kern w:val="0"/>
          <w:sz w:val="32"/>
          <w:szCs w:val="32"/>
          <w:highlight w:val="none"/>
          <w:lang w:val="en-US" w:eastAsia="zh-CN" w:bidi="ar-SA"/>
        </w:rPr>
        <w:t>6</w:t>
      </w:r>
      <w:r>
        <w:rPr>
          <w:rFonts w:hint="default" w:ascii="Times New Roman" w:hAnsi="Times New Roman" w:eastAsia="方正仿宋_GBK" w:cs="Times New Roman"/>
          <w:color w:val="auto"/>
          <w:kern w:val="0"/>
          <w:sz w:val="32"/>
          <w:szCs w:val="32"/>
          <w:highlight w:val="none"/>
          <w:lang w:val="en-US" w:eastAsia="zh-CN" w:bidi="ar-SA"/>
        </w:rPr>
        <w:t>月</w:t>
      </w:r>
      <w:r>
        <w:rPr>
          <w:rFonts w:hint="eastAsia" w:ascii="Times New Roman" w:hAnsi="Times New Roman" w:cs="Times New Roman"/>
          <w:color w:val="auto"/>
          <w:kern w:val="0"/>
          <w:sz w:val="32"/>
          <w:szCs w:val="32"/>
          <w:highlight w:val="none"/>
          <w:lang w:val="en-US" w:eastAsia="zh-CN" w:bidi="ar-SA"/>
        </w:rPr>
        <w:t>12</w:t>
      </w:r>
      <w:r>
        <w:rPr>
          <w:rFonts w:hint="default" w:ascii="Times New Roman" w:hAnsi="Times New Roman" w:eastAsia="方正仿宋_GBK" w:cs="Times New Roman"/>
          <w:color w:val="auto"/>
          <w:kern w:val="0"/>
          <w:sz w:val="32"/>
          <w:szCs w:val="32"/>
          <w:highlight w:val="none"/>
          <w:lang w:val="en-US" w:eastAsia="zh-CN" w:bidi="ar-SA"/>
        </w:rPr>
        <w:t>日下午14时30 分（北京时间）；</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（二）</w:t>
      </w:r>
      <w:r>
        <w:rPr>
          <w:rFonts w:hint="default"/>
          <w:lang w:val="en-US" w:eastAsia="zh-CN"/>
        </w:rPr>
        <w:t>提交询价响应文件地点、开标地点：大理市满江街道红山路与太和路交汇处（大理州第二人民医院行政后勤楼五楼一号会议室）。</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七</w:t>
      </w:r>
      <w:r>
        <w:rPr>
          <w:rFonts w:hint="default"/>
          <w:lang w:val="en-US" w:eastAsia="zh-CN"/>
        </w:rPr>
        <w:t>、采购信息发布媒介</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大理州第二人民医院官网（</w:t>
      </w:r>
      <w:r>
        <w:rPr>
          <w:rFonts w:hint="default"/>
          <w:lang w:val="en-US" w:eastAsia="zh-CN"/>
        </w:rPr>
        <w:fldChar w:fldCharType="begin"/>
      </w:r>
      <w:r>
        <w:rPr>
          <w:rFonts w:hint="default"/>
          <w:lang w:val="en-US" w:eastAsia="zh-CN"/>
        </w:rPr>
        <w:instrText xml:space="preserve">HYPERLINK "http://www.dlzdermyy.com/"</w:instrText>
      </w:r>
      <w:r>
        <w:rPr>
          <w:rFonts w:hint="default"/>
          <w:lang w:val="en-US" w:eastAsia="zh-CN"/>
        </w:rPr>
        <w:fldChar w:fldCharType="separate"/>
      </w:r>
      <w:r>
        <w:rPr>
          <w:rFonts w:hint="default"/>
          <w:lang w:val="en-US" w:eastAsia="zh-CN"/>
        </w:rPr>
        <w:t>http://www.dlzdermyy.com/</w:t>
      </w:r>
      <w:r>
        <w:rPr>
          <w:rFonts w:hint="default"/>
          <w:lang w:val="en-US" w:eastAsia="zh-CN"/>
        </w:rPr>
        <w:fldChar w:fldCharType="end"/>
      </w:r>
      <w:r>
        <w:rPr>
          <w:rFonts w:hint="default"/>
          <w:lang w:val="en-US" w:eastAsia="zh-CN"/>
        </w:rPr>
        <w:t>）。</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八</w:t>
      </w:r>
      <w:r>
        <w:rPr>
          <w:rFonts w:hint="default"/>
          <w:lang w:val="en-US" w:eastAsia="zh-CN"/>
        </w:rPr>
        <w:t>、公告期限</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自本公告发布之日</w:t>
      </w:r>
      <w:r>
        <w:rPr>
          <w:rFonts w:hint="default" w:ascii="Times New Roman" w:hAnsi="Times New Roman" w:eastAsia="方正仿宋_GBK" w:cs="Times New Roman"/>
          <w:color w:val="auto"/>
          <w:kern w:val="0"/>
          <w:sz w:val="32"/>
          <w:szCs w:val="32"/>
          <w:highlight w:val="none"/>
          <w:lang w:val="en-US" w:eastAsia="zh-CN" w:bidi="ar-SA"/>
        </w:rPr>
        <w:t>起3个工</w:t>
      </w:r>
      <w:r>
        <w:rPr>
          <w:rFonts w:hint="default"/>
          <w:lang w:val="en-US" w:eastAsia="zh-CN"/>
        </w:rPr>
        <w:t>作日。</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九</w:t>
      </w:r>
      <w:r>
        <w:rPr>
          <w:rFonts w:hint="default"/>
          <w:lang w:val="en-US" w:eastAsia="zh-CN"/>
        </w:rPr>
        <w:t>、收费标准</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大理州第二人民医院对报名费、询价采购文件、中标服务费均不收取。</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eastAsia"/>
          <w:lang w:val="en-US" w:eastAsia="zh-CN"/>
        </w:rPr>
        <w:t>十、</w:t>
      </w:r>
      <w:r>
        <w:rPr>
          <w:rFonts w:hint="default"/>
          <w:lang w:val="en-US" w:eastAsia="zh-CN"/>
        </w:rPr>
        <w:t>其他补充事宜</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color w:val="auto"/>
          <w:lang w:val="en-US" w:eastAsia="zh-CN"/>
        </w:rPr>
      </w:pPr>
      <w:r>
        <w:rPr>
          <w:rFonts w:hint="eastAsia"/>
          <w:lang w:val="en-US" w:eastAsia="zh-CN"/>
        </w:rPr>
        <w:t>（一）</w:t>
      </w:r>
      <w:r>
        <w:rPr>
          <w:rFonts w:hint="default"/>
          <w:lang w:val="en-US" w:eastAsia="zh-CN"/>
        </w:rPr>
        <w:t>本次采购不设置具体的采购数量，</w:t>
      </w:r>
      <w:r>
        <w:rPr>
          <w:rFonts w:hint="default"/>
        </w:rPr>
        <w:t>采购人提供试剂耗材报价表中预估采购数量仅根据</w:t>
      </w:r>
      <w:r>
        <w:rPr>
          <w:rFonts w:hint="eastAsia"/>
          <w:lang w:eastAsia="zh-CN"/>
        </w:rPr>
        <w:t>科室现有标本量</w:t>
      </w:r>
      <w:r>
        <w:rPr>
          <w:rFonts w:hint="default"/>
        </w:rPr>
        <w:t>统计或推算，</w:t>
      </w:r>
      <w:r>
        <w:rPr>
          <w:rFonts w:hint="default"/>
          <w:lang w:val="en-US" w:eastAsia="zh-CN"/>
        </w:rPr>
        <w:t>仅供</w:t>
      </w:r>
      <w:r>
        <w:rPr>
          <w:rFonts w:hint="default"/>
          <w:color w:val="auto"/>
          <w:lang w:val="en-US" w:eastAsia="zh-CN"/>
        </w:rPr>
        <w:t>投标人参考，</w:t>
      </w:r>
      <w:r>
        <w:rPr>
          <w:rFonts w:hint="default"/>
          <w:color w:val="auto"/>
        </w:rPr>
        <w:t>具体采购数量以今后实际采购数量为准。</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color w:val="auto"/>
          <w:lang w:val="en-US" w:eastAsia="zh-CN"/>
        </w:rPr>
      </w:pPr>
      <w:r>
        <w:rPr>
          <w:rFonts w:hint="eastAsia"/>
          <w:color w:val="auto"/>
          <w:lang w:val="en-US" w:eastAsia="zh-CN"/>
        </w:rPr>
        <w:t>（二）若</w:t>
      </w:r>
      <w:r>
        <w:rPr>
          <w:rFonts w:hint="default"/>
          <w:color w:val="auto"/>
          <w:lang w:val="en-US" w:eastAsia="zh-CN"/>
        </w:rPr>
        <w:t>供应商（生产厂家）报名家数</w:t>
      </w:r>
      <w:r>
        <w:rPr>
          <w:rFonts w:hint="eastAsia" w:ascii="Times New Roman" w:hAnsi="Times New Roman" w:eastAsia="方正仿宋_GBK" w:cs="Times New Roman"/>
          <w:color w:val="auto"/>
          <w:kern w:val="0"/>
          <w:sz w:val="32"/>
          <w:szCs w:val="32"/>
          <w:highlight w:val="none"/>
          <w:lang w:val="en-US" w:eastAsia="zh-CN" w:bidi="ar-SA"/>
        </w:rPr>
        <w:t>仅有2家则下一步</w:t>
      </w:r>
      <w:r>
        <w:rPr>
          <w:rFonts w:hint="eastAsia" w:ascii="Times New Roman" w:hAnsi="Times New Roman" w:cs="Times New Roman"/>
          <w:color w:val="auto"/>
          <w:kern w:val="0"/>
          <w:sz w:val="32"/>
          <w:szCs w:val="32"/>
          <w:highlight w:val="none"/>
          <w:lang w:val="en-US" w:eastAsia="zh-CN" w:bidi="ar-SA"/>
        </w:rPr>
        <w:t>邀请报名的2家参与，并</w:t>
      </w:r>
      <w:r>
        <w:rPr>
          <w:rFonts w:hint="eastAsia" w:ascii="Times New Roman" w:hAnsi="Times New Roman" w:eastAsia="方正仿宋_GBK" w:cs="Times New Roman"/>
          <w:color w:val="auto"/>
          <w:kern w:val="0"/>
          <w:sz w:val="32"/>
          <w:szCs w:val="32"/>
          <w:highlight w:val="none"/>
          <w:lang w:val="en-US" w:eastAsia="zh-CN" w:bidi="ar-SA"/>
        </w:rPr>
        <w:t>采用竞争性谈判方式采购</w:t>
      </w:r>
      <w:r>
        <w:rPr>
          <w:rFonts w:hint="eastAsia" w:ascii="Times New Roman" w:hAnsi="Times New Roman"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若仅有1家则采用单</w:t>
      </w:r>
      <w:r>
        <w:rPr>
          <w:rFonts w:hint="eastAsia"/>
          <w:color w:val="auto"/>
          <w:lang w:val="en-US" w:eastAsia="zh-CN"/>
        </w:rPr>
        <w:t>一来源采购。</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eastAsia"/>
          <w:lang w:val="en-US" w:eastAsia="zh-CN"/>
        </w:rPr>
        <w:t>（三）</w:t>
      </w:r>
      <w:r>
        <w:rPr>
          <w:rFonts w:hint="default"/>
          <w:lang w:val="en-US" w:eastAsia="zh-CN"/>
        </w:rPr>
        <w:t>其他未尽事宜详见询价采购文件。</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default"/>
          <w:lang w:val="en-US" w:eastAsia="zh-CN"/>
        </w:rPr>
        <w:t>十</w:t>
      </w:r>
      <w:r>
        <w:rPr>
          <w:rFonts w:hint="eastAsia"/>
          <w:lang w:val="en-US" w:eastAsia="zh-CN"/>
        </w:rPr>
        <w:t>一</w:t>
      </w:r>
      <w:r>
        <w:rPr>
          <w:rFonts w:hint="default"/>
          <w:lang w:val="en-US" w:eastAsia="zh-CN"/>
        </w:rPr>
        <w:t>、对本次采购提出询问请按以下</w:t>
      </w:r>
      <w:bookmarkStart w:id="180" w:name="_GoBack"/>
      <w:bookmarkEnd w:id="180"/>
      <w:r>
        <w:rPr>
          <w:rFonts w:hint="default"/>
          <w:lang w:val="en-US" w:eastAsia="zh-CN"/>
        </w:rPr>
        <w:t>方式联系</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采购人：大理白族自治州第二人民医院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地址：大理市满江街道红山路与太和路交汇处</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eastAsia"/>
          <w:lang w:val="en-US" w:eastAsia="zh-CN"/>
        </w:rPr>
      </w:pPr>
      <w:r>
        <w:rPr>
          <w:rFonts w:hint="default"/>
          <w:lang w:val="en-US" w:eastAsia="zh-CN"/>
        </w:rPr>
        <w:t>联系人：</w:t>
      </w:r>
      <w:r>
        <w:rPr>
          <w:rFonts w:hint="eastAsia"/>
          <w:lang w:val="en-US" w:eastAsia="zh-CN"/>
        </w:rPr>
        <w:t>赵老师、王老师、陈老师</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ascii="Times New Roman" w:hAnsi="Times New Roman" w:cs="Times New Roman"/>
          <w:color w:val="FF0000"/>
          <w:kern w:val="0"/>
          <w:sz w:val="32"/>
          <w:szCs w:val="32"/>
          <w:highlight w:val="none"/>
          <w:lang w:val="en-US" w:eastAsia="zh-CN" w:bidi="ar-SA"/>
        </w:rPr>
      </w:pPr>
      <w:r>
        <w:rPr>
          <w:rFonts w:hint="default"/>
          <w:lang w:val="en-US" w:eastAsia="zh-CN"/>
        </w:rPr>
        <w:t>联系电</w:t>
      </w:r>
      <w:r>
        <w:rPr>
          <w:rFonts w:hint="default"/>
          <w:color w:val="auto"/>
          <w:lang w:val="en-US" w:eastAsia="zh-CN"/>
        </w:rPr>
        <w:t>话：</w:t>
      </w:r>
      <w:r>
        <w:rPr>
          <w:rFonts w:hint="default" w:ascii="Times New Roman" w:hAnsi="Times New Roman" w:cs="Times New Roman"/>
          <w:color w:val="auto"/>
          <w:kern w:val="0"/>
          <w:sz w:val="32"/>
          <w:szCs w:val="32"/>
          <w:highlight w:val="none"/>
          <w:lang w:val="en-US" w:eastAsia="zh-CN" w:bidi="ar-SA"/>
        </w:rPr>
        <w:t>0872-</w:t>
      </w:r>
      <w:r>
        <w:rPr>
          <w:rFonts w:hint="eastAsia" w:ascii="Times New Roman" w:hAnsi="Times New Roman" w:cs="Times New Roman"/>
          <w:color w:val="auto"/>
          <w:kern w:val="0"/>
          <w:sz w:val="32"/>
          <w:szCs w:val="32"/>
          <w:highlight w:val="none"/>
          <w:lang w:val="en-US" w:eastAsia="zh-CN" w:bidi="ar-SA"/>
        </w:rPr>
        <w:t>2350063</w:t>
      </w:r>
    </w:p>
    <w:p>
      <w:pPr>
        <w:keepNext w:val="0"/>
        <w:keepLines w:val="0"/>
        <w:pageBreakBefore w:val="0"/>
        <w:widowControl w:val="0"/>
        <w:kinsoku/>
        <w:wordWrap/>
        <w:overflowPunct/>
        <w:topLinePunct w:val="0"/>
        <w:autoSpaceDE/>
        <w:autoSpaceDN/>
        <w:bidi w:val="0"/>
        <w:snapToGrid/>
        <w:spacing w:line="460" w:lineRule="exact"/>
        <w:ind w:right="0"/>
        <w:textAlignment w:val="auto"/>
        <w:rPr>
          <w:rFonts w:hint="default"/>
          <w:lang w:val="en-US" w:eastAsia="zh-CN"/>
        </w:rPr>
      </w:pPr>
      <w:r>
        <w:rPr>
          <w:rFonts w:hint="default"/>
          <w:lang w:val="en-US" w:eastAsia="zh-CN"/>
        </w:rPr>
        <w:t>十</w:t>
      </w:r>
      <w:r>
        <w:rPr>
          <w:rFonts w:hint="eastAsia"/>
          <w:lang w:val="en-US" w:eastAsia="zh-CN"/>
        </w:rPr>
        <w:t>二</w:t>
      </w:r>
      <w:r>
        <w:rPr>
          <w:rFonts w:hint="default"/>
          <w:lang w:val="en-US" w:eastAsia="zh-CN"/>
        </w:rPr>
        <w:t>、监督机构信息</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名称：大理州第二人民医院</w:t>
      </w:r>
      <w:r>
        <w:rPr>
          <w:rFonts w:hint="eastAsia"/>
          <w:lang w:val="en-US" w:eastAsia="zh-CN"/>
        </w:rPr>
        <w:t>纪委办公室</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lang w:val="en-US" w:eastAsia="zh-CN"/>
        </w:rPr>
      </w:pPr>
      <w:r>
        <w:rPr>
          <w:rFonts w:hint="default"/>
          <w:lang w:val="en-US" w:eastAsia="zh-CN"/>
        </w:rPr>
        <w:t>地址：大理市满江街道红山路与太和路交汇处</w:t>
      </w:r>
    </w:p>
    <w:p>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lang w:val="en-US" w:eastAsia="zh-CN"/>
        </w:rPr>
        <w:t>监督电话：</w:t>
      </w:r>
      <w:r>
        <w:rPr>
          <w:rFonts w:hint="default" w:ascii="Times New Roman" w:hAnsi="Times New Roman" w:cs="Times New Roman"/>
          <w:color w:val="auto"/>
          <w:kern w:val="0"/>
          <w:sz w:val="32"/>
          <w:szCs w:val="32"/>
          <w:highlight w:val="none"/>
          <w:lang w:val="en-US" w:eastAsia="zh-CN" w:bidi="ar-SA"/>
        </w:rPr>
        <w:t>0872-2184764</w:t>
      </w:r>
    </w:p>
    <w:p>
      <w:pPr>
        <w:bidi w:val="0"/>
        <w:rPr>
          <w:rFonts w:hint="default"/>
          <w:lang w:val="en-US" w:eastAsia="zh-CN"/>
        </w:rPr>
      </w:pPr>
    </w:p>
    <w:p>
      <w:pPr>
        <w:bidi w:val="0"/>
        <w:rPr>
          <w:rFonts w:hint="default"/>
          <w:lang w:val="en-US" w:eastAsia="zh-CN"/>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lang w:val="en-US" w:eastAsia="zh-CN"/>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3"/>
        <w:numPr>
          <w:ilvl w:val="0"/>
          <w:numId w:val="1"/>
        </w:numPr>
        <w:bidi w:val="0"/>
        <w:rPr>
          <w:rFonts w:hint="default"/>
          <w:lang w:val="en-US" w:eastAsia="zh-CN"/>
        </w:rPr>
      </w:pPr>
      <w:bookmarkStart w:id="6" w:name="_Toc5237"/>
      <w:r>
        <w:rPr>
          <w:rFonts w:hint="default"/>
          <w:lang w:val="en-US" w:eastAsia="zh-CN"/>
        </w:rPr>
        <w:t>供 应 商 须 知</w:t>
      </w:r>
      <w:bookmarkEnd w:id="6"/>
    </w:p>
    <w:p>
      <w:pPr>
        <w:bidi w:val="0"/>
        <w:rPr>
          <w:rFonts w:hint="default"/>
        </w:rPr>
      </w:pPr>
      <w:bookmarkStart w:id="7" w:name="_Toc1433"/>
      <w:r>
        <w:rPr>
          <w:rFonts w:hint="default"/>
        </w:rPr>
        <w:t>供应商须知前附表</w:t>
      </w:r>
      <w:bookmarkEnd w:id="7"/>
    </w:p>
    <w:tbl>
      <w:tblPr>
        <w:tblStyle w:val="16"/>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条款名称</w:t>
            </w:r>
          </w:p>
        </w:tc>
        <w:tc>
          <w:tcPr>
            <w:tcW w:w="6985"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rPr>
              <w:t>采购人：大理</w:t>
            </w:r>
            <w:r>
              <w:rPr>
                <w:rFonts w:hint="default"/>
                <w:lang w:val="en-US" w:eastAsia="zh-CN"/>
              </w:rPr>
              <w:t>白族自治</w:t>
            </w:r>
            <w:r>
              <w:rPr>
                <w:rFonts w:hint="default"/>
              </w:rPr>
              <w:t>州</w:t>
            </w:r>
            <w:r>
              <w:rPr>
                <w:rFonts w:hint="default"/>
                <w:lang w:val="en-US" w:eastAsia="zh-CN"/>
              </w:rPr>
              <w:t>第二人民医院</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32"/>
                <w:szCs w:val="32"/>
                <w:highlight w:val="none"/>
                <w:lang w:val="en-US" w:eastAsia="zh-CN" w:bidi="ar-SA"/>
              </w:rPr>
            </w:pPr>
            <w:r>
              <w:rPr>
                <w:rFonts w:hint="default"/>
              </w:rPr>
              <w:t>统一社会信用代码：</w:t>
            </w:r>
            <w:r>
              <w:rPr>
                <w:rFonts w:hint="default" w:ascii="Times New Roman" w:hAnsi="Times New Roman" w:cs="Times New Roman"/>
                <w:color w:val="auto"/>
                <w:kern w:val="0"/>
                <w:sz w:val="32"/>
                <w:szCs w:val="32"/>
                <w:highlight w:val="none"/>
                <w:lang w:val="en-US" w:eastAsia="zh-CN" w:bidi="ar-SA"/>
              </w:rPr>
              <w:t>12532900432545899G</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地址：大理市满江街道红山路与太和路交汇处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联系人：</w:t>
            </w:r>
            <w:r>
              <w:rPr>
                <w:rFonts w:hint="eastAsia" w:ascii="Times New Roman" w:hAnsi="Times New Roman" w:cs="Times New Roman"/>
                <w:color w:val="auto"/>
                <w:kern w:val="0"/>
                <w:sz w:val="32"/>
                <w:szCs w:val="32"/>
                <w:highlight w:val="none"/>
                <w:lang w:val="en-US" w:eastAsia="zh-CN" w:bidi="ar-SA"/>
              </w:rPr>
              <w:t>赵老师、王老师、陈老师</w:t>
            </w:r>
            <w:r>
              <w:rPr>
                <w:rFonts w:hint="default" w:ascii="Times New Roman" w:hAnsi="Times New Roman" w:cs="Times New Roman"/>
                <w:color w:val="auto"/>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Times New Roman" w:hAnsi="Times New Roman" w:cs="Times New Roman"/>
                <w:color w:val="auto"/>
                <w:kern w:val="0"/>
                <w:sz w:val="32"/>
                <w:szCs w:val="32"/>
                <w:highlight w:val="none"/>
                <w:lang w:val="en-US" w:eastAsia="zh-CN" w:bidi="ar-SA"/>
              </w:rPr>
              <w:t>联系电话：0872-2</w:t>
            </w:r>
            <w:r>
              <w:rPr>
                <w:rFonts w:hint="eastAsia" w:ascii="Times New Roman" w:hAnsi="Times New Roman" w:cs="Times New Roman"/>
                <w:color w:val="auto"/>
                <w:kern w:val="0"/>
                <w:sz w:val="32"/>
                <w:szCs w:val="32"/>
                <w:highlight w:val="none"/>
                <w:lang w:val="en-US" w:eastAsia="zh-CN" w:bidi="ar-SA"/>
              </w:rPr>
              <w:t>350063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项目名称及</w:t>
            </w:r>
          </w:p>
          <w:p>
            <w:pPr>
              <w:bidi w:val="0"/>
              <w:jc w:val="center"/>
              <w:rPr>
                <w:rFonts w:hint="default"/>
                <w:lang w:eastAsia="zh-CN"/>
              </w:rPr>
            </w:pPr>
            <w:r>
              <w:rPr>
                <w:rFonts w:hint="default"/>
                <w:lang w:eastAsia="zh-CN"/>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项目名称：</w:t>
            </w:r>
            <w:r>
              <w:rPr>
                <w:rFonts w:hint="eastAsia"/>
                <w:lang w:val="en-US" w:eastAsia="zh-CN"/>
              </w:rPr>
              <w:t>大理州第二人民医院2025年度部份高效液相色谱试剂耗材采购项目（二次）</w:t>
            </w:r>
          </w:p>
          <w:p>
            <w:pPr>
              <w:bidi w:val="0"/>
              <w:rPr>
                <w:rFonts w:hint="default"/>
                <w:lang w:val="en-US" w:eastAsia="zh-CN"/>
              </w:rPr>
            </w:pPr>
            <w:r>
              <w:rPr>
                <w:rFonts w:hint="default"/>
                <w:lang w:eastAsia="zh-CN"/>
              </w:rPr>
              <w:t>项目编号</w:t>
            </w:r>
            <w:r>
              <w:rPr>
                <w:rFonts w:hint="default"/>
              </w:rPr>
              <w:t>：</w:t>
            </w:r>
            <w:r>
              <w:rPr>
                <w:rFonts w:hint="eastAsia" w:ascii="Times New Roman" w:hAnsi="Times New Roman" w:cs="Times New Roman"/>
                <w:color w:val="auto"/>
                <w:kern w:val="0"/>
                <w:sz w:val="32"/>
                <w:szCs w:val="32"/>
                <w:highlight w:val="none"/>
                <w:lang w:val="en-US" w:eastAsia="zh-CN" w:bidi="ar-SA"/>
              </w:rPr>
              <w:t>DLZEYSBK-2025-01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采购范围及</w:t>
            </w:r>
          </w:p>
          <w:p>
            <w:pPr>
              <w:bidi w:val="0"/>
              <w:jc w:val="center"/>
              <w:rPr>
                <w:rFonts w:hint="default"/>
              </w:rPr>
            </w:pPr>
            <w:r>
              <w:rPr>
                <w:rFonts w:hint="default"/>
              </w:rPr>
              <w:t>预算金额</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采购范围：详见《第五章</w:t>
            </w:r>
            <w:r>
              <w:rPr>
                <w:rFonts w:hint="default"/>
                <w:lang w:val="en-US" w:eastAsia="zh-CN"/>
              </w:rPr>
              <w:t>采购需求</w:t>
            </w:r>
            <w:r>
              <w:rPr>
                <w:rFonts w:hint="default"/>
              </w:rPr>
              <w:t>》</w:t>
            </w:r>
          </w:p>
          <w:p>
            <w:pPr>
              <w:bidi w:val="0"/>
              <w:rPr>
                <w:rFonts w:hint="default"/>
              </w:rPr>
            </w:pPr>
            <w:r>
              <w:rPr>
                <w:rFonts w:hint="default"/>
                <w:lang w:val="en-US" w:eastAsia="zh-CN"/>
              </w:rPr>
              <w:t>预算单价：详见第五章采购需求。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3</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4</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rPr>
              <w:t>交货</w:t>
            </w:r>
            <w:r>
              <w:rPr>
                <w:rFonts w:hint="default"/>
                <w:lang w:val="en-US" w:eastAsia="zh-CN"/>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大理州第二人民医院</w:t>
            </w:r>
            <w:r>
              <w:rPr>
                <w:rFonts w:hint="default"/>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5</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6</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所提供货物应有备案凭证、合格证、检验报告</w:t>
            </w:r>
            <w:r>
              <w:rPr>
                <w:rFonts w:hint="eastAsia"/>
                <w:lang w:val="en-US" w:eastAsia="zh-CN"/>
              </w:rPr>
              <w:t>等</w:t>
            </w:r>
            <w:r>
              <w:rPr>
                <w:rFonts w:hint="default"/>
                <w:lang w:val="en-US" w:eastAsia="zh-CN"/>
              </w:rPr>
              <w:t>，有效期至少在总有效期</w:t>
            </w:r>
            <w:r>
              <w:rPr>
                <w:rFonts w:hint="default" w:ascii="Times New Roman" w:hAnsi="Times New Roman" w:cs="Times New Roman"/>
                <w:color w:val="auto"/>
                <w:kern w:val="0"/>
                <w:sz w:val="32"/>
                <w:szCs w:val="32"/>
                <w:highlight w:val="none"/>
                <w:lang w:val="en-US" w:eastAsia="zh-CN" w:bidi="ar-SA"/>
              </w:rPr>
              <w:t>的2/3</w:t>
            </w:r>
            <w:r>
              <w:rPr>
                <w:rFonts w:hint="default"/>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7</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8</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构成询价响应文件</w:t>
            </w:r>
            <w:r>
              <w:rPr>
                <w:rFonts w:hint="eastAsia"/>
                <w:lang w:val="en-US" w:eastAsia="zh-CN"/>
              </w:rPr>
              <w:t>部份</w:t>
            </w:r>
            <w:r>
              <w:rPr>
                <w:rFonts w:hint="default"/>
                <w:lang w:val="en-US" w:eastAsia="zh-CN"/>
              </w:rPr>
              <w:t>的其他</w:t>
            </w:r>
            <w:r>
              <w:rPr>
                <w:rFonts w:hint="eastAsia"/>
                <w:lang w:val="en-US" w:eastAsia="zh-CN"/>
              </w:rPr>
              <w:t>部份</w:t>
            </w:r>
            <w:r>
              <w:rPr>
                <w:rFonts w:hint="default"/>
                <w:lang w:val="en-US" w:eastAsia="zh-CN"/>
              </w:rPr>
              <w:t>资料</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（1）投标产品图片（扫描件加盖公章）；</w:t>
            </w:r>
          </w:p>
          <w:p>
            <w:pPr>
              <w:bidi w:val="0"/>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（2）询价响应产品的检验报告等（复印件加盖公章）；</w:t>
            </w:r>
          </w:p>
          <w:p>
            <w:pPr>
              <w:bidi w:val="0"/>
              <w:rPr>
                <w:rFonts w:hint="default"/>
                <w:lang w:val="en-US" w:eastAsia="zh-CN"/>
              </w:rPr>
            </w:pPr>
            <w:r>
              <w:rPr>
                <w:rFonts w:hint="default" w:ascii="Times New Roman" w:hAnsi="Times New Roman" w:cs="Times New Roman"/>
                <w:color w:val="auto"/>
                <w:kern w:val="0"/>
                <w:sz w:val="32"/>
                <w:szCs w:val="32"/>
                <w:highlight w:val="none"/>
                <w:lang w:val="en-US" w:eastAsia="zh-CN" w:bidi="ar-SA"/>
              </w:rPr>
              <w:t>（3）询</w:t>
            </w:r>
            <w:r>
              <w:rPr>
                <w:rFonts w:hint="default"/>
                <w:lang w:val="en-US" w:eastAsia="zh-CN"/>
              </w:rPr>
              <w:t>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9</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10</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11</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12</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13</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14</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15</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16</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17</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18</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lang w:val="en-US" w:eastAsia="zh-CN"/>
              </w:rPr>
            </w:pPr>
            <w:r>
              <w:rPr>
                <w:rFonts w:hint="default"/>
                <w:lang w:val="en-US" w:eastAsia="zh-CN"/>
              </w:rPr>
              <w:t>询价采购</w:t>
            </w:r>
            <w:r>
              <w:rPr>
                <w:rFonts w:hint="default"/>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19</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rPr>
              <w:t>（</w:t>
            </w:r>
            <w:r>
              <w:rPr>
                <w:rFonts w:hint="default"/>
                <w:lang w:val="en-US" w:eastAsia="zh-CN"/>
              </w:rPr>
              <w:t>二</w:t>
            </w:r>
            <w:r>
              <w:rPr>
                <w:rFonts w:hint="default"/>
              </w:rPr>
              <w:t>、</w:t>
            </w:r>
            <w:r>
              <w:rPr>
                <w:rFonts w:hint="default"/>
                <w:lang w:val="en-US" w:eastAsia="zh-CN"/>
              </w:rPr>
              <w:t>申请人的</w:t>
            </w:r>
            <w:r>
              <w:rPr>
                <w:rFonts w:hint="default"/>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20</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lang w:val="en-US" w:eastAsia="zh-CN"/>
              </w:rPr>
              <w:t>询价</w:t>
            </w:r>
            <w:r>
              <w:rPr>
                <w:rFonts w:hint="default"/>
                <w:lang w:eastAsia="zh-CN"/>
              </w:rPr>
              <w:t>采购文件</w:t>
            </w:r>
            <w:r>
              <w:rPr>
                <w:rFonts w:hint="default"/>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提交</w:t>
            </w:r>
            <w:r>
              <w:rPr>
                <w:rFonts w:hint="default"/>
                <w:lang w:val="en-US" w:eastAsia="zh-CN"/>
              </w:rPr>
              <w:t>询价</w:t>
            </w:r>
            <w:r>
              <w:rPr>
                <w:rFonts w:hint="default"/>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21</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lang w:val="en-US" w:eastAsia="zh-CN"/>
              </w:rPr>
              <w:t>询价</w:t>
            </w:r>
            <w:r>
              <w:rPr>
                <w:rFonts w:hint="default"/>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从提交</w:t>
            </w:r>
            <w:r>
              <w:rPr>
                <w:rFonts w:hint="default"/>
                <w:lang w:val="en-US" w:eastAsia="zh-CN"/>
              </w:rPr>
              <w:t>询价</w:t>
            </w:r>
            <w:r>
              <w:rPr>
                <w:rFonts w:hint="default"/>
              </w:rPr>
              <w:t>响应文件截止之日起90日历天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22</w:t>
            </w:r>
          </w:p>
        </w:tc>
        <w:tc>
          <w:tcPr>
            <w:tcW w:w="2253"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rPr>
            </w:pPr>
            <w:r>
              <w:rPr>
                <w:rFonts w:hint="default"/>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（1）询价响应文件未按要求密封、装订、递交；</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（2）询价响应文件未按规定格式、内容填写；</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）传真投标（电子投标）；</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）在投标截止时间后送达的询价响应文件；</w:t>
            </w:r>
          </w:p>
          <w:p>
            <w:pPr>
              <w:bidi w:val="0"/>
              <w:jc w:val="left"/>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（5）未提供合计金额的；</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6</w:t>
            </w:r>
            <w:r>
              <w:rPr>
                <w:rFonts w:hint="default" w:ascii="Times New Roman" w:hAnsi="Times New Roman" w:cs="Times New Roman"/>
                <w:color w:val="auto"/>
                <w:kern w:val="0"/>
                <w:sz w:val="32"/>
                <w:szCs w:val="32"/>
                <w:highlight w:val="none"/>
                <w:lang w:val="en-US" w:eastAsia="zh-CN" w:bidi="ar-SA"/>
              </w:rPr>
              <w:t>）询价响应文件无法定代表人签字或签字但无法定代表人有效委托书的；</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7</w:t>
            </w:r>
            <w:r>
              <w:rPr>
                <w:rFonts w:hint="default" w:ascii="Times New Roman" w:hAnsi="Times New Roman" w:cs="Times New Roman"/>
                <w:color w:val="auto"/>
                <w:kern w:val="0"/>
                <w:sz w:val="32"/>
                <w:szCs w:val="32"/>
                <w:highlight w:val="none"/>
                <w:lang w:val="en-US" w:eastAsia="zh-CN" w:bidi="ar-SA"/>
              </w:rPr>
              <w:t>）投标有效期不足的；</w:t>
            </w:r>
          </w:p>
          <w:p>
            <w:pPr>
              <w:bidi w:val="0"/>
              <w:jc w:val="left"/>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8</w:t>
            </w:r>
            <w:r>
              <w:rPr>
                <w:rFonts w:hint="default" w:ascii="Times New Roman" w:hAnsi="Times New Roman" w:cs="Times New Roman"/>
                <w:color w:val="auto"/>
                <w:kern w:val="0"/>
                <w:sz w:val="32"/>
                <w:szCs w:val="32"/>
                <w:highlight w:val="none"/>
                <w:lang w:val="en-US" w:eastAsia="zh-CN" w:bidi="ar-SA"/>
              </w:rPr>
              <w:t>）投标内容有损国家的形象和公民的利益；</w:t>
            </w:r>
          </w:p>
          <w:p>
            <w:pPr>
              <w:bidi w:val="0"/>
              <w:jc w:val="left"/>
              <w:rPr>
                <w:rFonts w:hint="default"/>
                <w:lang w:eastAsia="zh-CN"/>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9</w:t>
            </w:r>
            <w:r>
              <w:rPr>
                <w:rFonts w:hint="default" w:ascii="Times New Roman" w:hAnsi="Times New Roman" w:cs="Times New Roman"/>
                <w:color w:val="auto"/>
                <w:kern w:val="0"/>
                <w:sz w:val="32"/>
                <w:szCs w:val="32"/>
                <w:highlight w:val="none"/>
                <w:lang w:val="en-US" w:eastAsia="zh-CN" w:bidi="ar-SA"/>
              </w:rPr>
              <w:t>）</w:t>
            </w:r>
            <w:r>
              <w:rPr>
                <w:rFonts w:hint="default"/>
              </w:rPr>
              <w:t>提供虚假的资料</w:t>
            </w:r>
            <w:r>
              <w:rPr>
                <w:rFonts w:hint="defaul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23</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lang w:val="en-US" w:eastAsia="zh-CN"/>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见第一章</w:t>
            </w:r>
            <w:r>
              <w:rPr>
                <w:rFonts w:hint="eastAsia"/>
                <w:lang w:eastAsia="zh-CN"/>
              </w:rPr>
              <w:t>“</w:t>
            </w:r>
            <w:r>
              <w:rPr>
                <w:rFonts w:hint="default"/>
                <w:lang w:val="en-US" w:eastAsia="zh-CN"/>
              </w:rPr>
              <w:t>项询价公告</w:t>
            </w:r>
            <w:r>
              <w:rPr>
                <w:rFonts w:hint="eastAsia"/>
                <w:lang w:eastAsia="zh-CN"/>
              </w:rPr>
              <w:t>”</w:t>
            </w:r>
            <w:r>
              <w:rPr>
                <w:rFonts w:hint="default"/>
                <w:lang w:eastAsia="zh-CN"/>
              </w:rPr>
              <w:t>（</w:t>
            </w:r>
            <w:r>
              <w:rPr>
                <w:rFonts w:hint="default"/>
                <w:lang w:val="en-US" w:eastAsia="zh-CN"/>
              </w:rPr>
              <w:t>四</w:t>
            </w:r>
            <w:r>
              <w:rPr>
                <w:rFonts w:hint="default"/>
                <w:lang w:eastAsia="zh-CN"/>
              </w:rPr>
              <w:t>、</w:t>
            </w:r>
            <w:r>
              <w:rPr>
                <w:rFonts w:hint="default"/>
                <w:lang w:val="en-US" w:eastAsia="zh-CN"/>
              </w:rPr>
              <w:t>报名时间、方式及注意事项</w:t>
            </w:r>
            <w:r>
              <w:rPr>
                <w:rFonts w:hint="defaul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24</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eastAsia="zh-CN"/>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lang w:eastAsia="zh-CN"/>
              </w:rPr>
              <w:t>（</w:t>
            </w:r>
            <w:r>
              <w:rPr>
                <w:rFonts w:hint="default"/>
                <w:lang w:val="en-US" w:eastAsia="zh-CN"/>
              </w:rPr>
              <w:t>五</w:t>
            </w:r>
            <w:r>
              <w:rPr>
                <w:rFonts w:hint="default"/>
                <w:lang w:eastAsia="zh-CN"/>
              </w:rPr>
              <w:t>、</w:t>
            </w:r>
            <w:r>
              <w:rPr>
                <w:rFonts w:hint="default"/>
                <w:lang w:val="en-US" w:eastAsia="zh-CN"/>
              </w:rPr>
              <w:t>提交投标文件截止时间、开标时间和地点</w:t>
            </w:r>
            <w:r>
              <w:rPr>
                <w:rFonts w:hint="defaul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25</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eastAsia="zh-CN"/>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lang w:eastAsia="zh-CN"/>
              </w:rPr>
              <w:t>（</w:t>
            </w:r>
            <w:r>
              <w:rPr>
                <w:rFonts w:hint="default"/>
                <w:lang w:val="en-US" w:eastAsia="zh-CN"/>
              </w:rPr>
              <w:t>五</w:t>
            </w:r>
            <w:r>
              <w:rPr>
                <w:rFonts w:hint="default"/>
                <w:lang w:eastAsia="zh-CN"/>
              </w:rPr>
              <w:t>、</w:t>
            </w:r>
            <w:r>
              <w:rPr>
                <w:rFonts w:hint="default"/>
                <w:lang w:val="en-US" w:eastAsia="zh-CN"/>
              </w:rPr>
              <w:t>提交询价响应文件截止时间、开标时间和地点</w:t>
            </w:r>
            <w:r>
              <w:rPr>
                <w:rFonts w:hint="defaul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26</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27</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lang w:val="en-US" w:eastAsia="zh-CN"/>
              </w:rPr>
              <w:t>对公转账付款，采购人收到货品并验收合格入库后三个月内</w:t>
            </w:r>
            <w:r>
              <w:rPr>
                <w:rFonts w:hint="eastAsia"/>
                <w:lang w:val="en-US" w:eastAsia="zh-CN"/>
              </w:rPr>
              <w:t>依据</w:t>
            </w:r>
            <w:r>
              <w:rPr>
                <w:rFonts w:hint="default"/>
                <w:lang w:val="en-US" w:eastAsia="zh-CN"/>
              </w:rPr>
              <w:t>中标方开具的正式发票付款。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28</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rPr>
            </w:pPr>
            <w:r>
              <w:rPr>
                <w:rFonts w:hint="default"/>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29</w:t>
            </w:r>
          </w:p>
        </w:tc>
        <w:tc>
          <w:tcPr>
            <w:tcW w:w="2253"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bidi w:val="0"/>
              <w:rPr>
                <w:rFonts w:hint="default"/>
                <w:lang w:val="en-US" w:eastAsia="zh-CN"/>
              </w:rPr>
            </w:pPr>
            <w:r>
              <w:rPr>
                <w:rFonts w:hint="default"/>
                <w:lang w:val="en-US" w:eastAsia="zh-CN"/>
              </w:rPr>
              <w:t>申请人的</w:t>
            </w:r>
            <w:r>
              <w:rPr>
                <w:rFonts w:hint="default"/>
              </w:rPr>
              <w:t>资格要求</w:t>
            </w:r>
            <w:r>
              <w:rPr>
                <w:rFonts w:hint="default"/>
                <w:lang w:val="en-US" w:eastAsia="zh-CN"/>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bookmarkStart w:id="8" w:name="_Toc26688"/>
      <w:r>
        <w:rPr>
          <w:rFonts w:hint="default"/>
        </w:rPr>
        <w:t>一、总  则</w:t>
      </w:r>
      <w:bookmarkEnd w:id="8"/>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val="en-US" w:eastAsia="zh-CN"/>
        </w:rPr>
        <w:t>（一）</w:t>
      </w:r>
      <w:r>
        <w:rPr>
          <w:rFonts w:hint="default"/>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本</w:t>
      </w:r>
      <w:r>
        <w:rPr>
          <w:rFonts w:hint="default"/>
        </w:rPr>
        <w:t>询价文件共由六</w:t>
      </w:r>
      <w:r>
        <w:rPr>
          <w:rFonts w:hint="default"/>
          <w:lang w:val="en-US" w:eastAsia="zh-CN"/>
        </w:rPr>
        <w:t>章</w:t>
      </w:r>
      <w:r>
        <w:rPr>
          <w:rFonts w:hint="default"/>
        </w:rPr>
        <w:t>组成。参与询价供应商在下载本询价文件之后，须仔细完整地进行阅读，全面理解询价文件的规定；一旦供应商在规定时间和地点递交了</w:t>
      </w:r>
      <w:r>
        <w:rPr>
          <w:rFonts w:hint="default"/>
          <w:lang w:val="en-US" w:eastAsia="zh-CN"/>
        </w:rPr>
        <w:t>询价</w:t>
      </w:r>
      <w:r>
        <w:rPr>
          <w:rFonts w:hint="default"/>
        </w:rPr>
        <w:t>响应文件，即视为 已知晓并接受 本询价文件的所有规定。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（二）</w:t>
      </w:r>
      <w:r>
        <w:rPr>
          <w:rFonts w:hint="default"/>
          <w:lang w:val="en-US" w:eastAsia="zh-CN"/>
        </w:rPr>
        <w:t>合格的供应商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可</w:t>
      </w:r>
      <w:r>
        <w:rPr>
          <w:rFonts w:hint="default"/>
          <w:lang w:val="en-US" w:eastAsia="zh-CN"/>
        </w:rPr>
        <w:t>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是否接受联合体投标：否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未在规定时间内参与报名或提供报名材料不齐全的视为不合格供应商，不得参与本项目采购活动。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color w:val="auto"/>
          <w:kern w:val="0"/>
          <w:sz w:val="32"/>
          <w:szCs w:val="32"/>
          <w:highlight w:val="none"/>
          <w:lang w:val="en-US" w:eastAsia="zh-CN" w:bidi="ar-SA"/>
        </w:rPr>
        <w:t>4.</w:t>
      </w:r>
      <w:r>
        <w:rPr>
          <w:rFonts w:hint="default"/>
          <w:lang w:val="en-US" w:eastAsia="zh-CN"/>
        </w:rPr>
        <w:t>如供应商为满足供应商资格要求提供虚假材料，一经查实，供应商询价响应文件将按无效处理。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（三）</w:t>
      </w:r>
      <w:r>
        <w:rPr>
          <w:rFonts w:hint="default"/>
          <w:lang w:val="en-US" w:eastAsia="zh-CN"/>
        </w:rPr>
        <w:t>费用自行承担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无论询价采购结果如何，所有供应商自行承担参加本次采购活动所发生的一切费用。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（四）</w:t>
      </w:r>
      <w:r>
        <w:rPr>
          <w:rFonts w:hint="default" w:ascii="Times New Roman" w:hAnsi="Times New Roman" w:cs="Times New Roman"/>
          <w:color w:val="auto"/>
          <w:kern w:val="0"/>
          <w:sz w:val="32"/>
          <w:szCs w:val="32"/>
          <w:highlight w:val="none"/>
          <w:lang w:val="en-US" w:eastAsia="zh-CN" w:bidi="ar-SA"/>
        </w:rPr>
        <w:t>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 xml:space="preserve"> </w:t>
      </w:r>
      <w:r>
        <w:rPr>
          <w:rFonts w:hint="eastAsia"/>
          <w:lang w:val="en-US" w:eastAsia="zh-CN"/>
        </w:rPr>
        <w:t>“</w:t>
      </w:r>
      <w:r>
        <w:rPr>
          <w:rFonts w:hint="default"/>
        </w:rPr>
        <w:t>供应商须知前附表</w:t>
      </w:r>
      <w:r>
        <w:rPr>
          <w:rFonts w:hint="eastAsia"/>
          <w:lang w:val="en-US" w:eastAsia="zh-CN"/>
        </w:rPr>
        <w:t>”</w:t>
      </w:r>
      <w:r>
        <w:rPr>
          <w:rFonts w:hint="default"/>
        </w:rPr>
        <w:t>中所述的采购人资金来源为</w:t>
      </w:r>
      <w:r>
        <w:rPr>
          <w:rFonts w:hint="default"/>
          <w:lang w:val="en-US" w:eastAsia="zh-CN"/>
        </w:rPr>
        <w:t>自筹资金，已落实</w:t>
      </w:r>
      <w:r>
        <w:rPr>
          <w:rFonts w:hint="default"/>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（五）</w:t>
      </w:r>
      <w:r>
        <w:rPr>
          <w:rFonts w:hint="default"/>
          <w:lang w:val="en-US" w:eastAsia="zh-CN"/>
        </w:rPr>
        <w:t>交货期限及交货地点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交货期限及交货地点：详见</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bookmarkStart w:id="9" w:name="_Toc476848359"/>
      <w:bookmarkStart w:id="10" w:name="_Toc475291681"/>
      <w:bookmarkStart w:id="11" w:name="_Toc321836356"/>
      <w:r>
        <w:rPr>
          <w:rFonts w:hint="eastAsia" w:ascii="Times New Roman" w:hAnsi="Times New Roman" w:cs="Times New Roman"/>
          <w:color w:val="auto"/>
          <w:kern w:val="0"/>
          <w:sz w:val="32"/>
          <w:szCs w:val="32"/>
          <w:highlight w:val="none"/>
          <w:lang w:val="en-US" w:eastAsia="zh-CN" w:bidi="ar-SA"/>
        </w:rPr>
        <w:t>（六）</w:t>
      </w:r>
      <w:r>
        <w:rPr>
          <w:rFonts w:hint="default" w:ascii="Times New Roman" w:hAnsi="Times New Roman" w:cs="Times New Roman"/>
          <w:color w:val="auto"/>
          <w:kern w:val="0"/>
          <w:sz w:val="32"/>
          <w:szCs w:val="32"/>
          <w:highlight w:val="none"/>
          <w:lang w:val="en-US" w:eastAsia="zh-CN" w:bidi="ar-SA"/>
        </w:rPr>
        <w:t>质疑</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1.</w:t>
      </w:r>
      <w:r>
        <w:rPr>
          <w:rFonts w:hint="default"/>
        </w:rPr>
        <w:t>供应商认为</w:t>
      </w:r>
      <w:r>
        <w:rPr>
          <w:rFonts w:hint="default"/>
          <w:lang w:val="en-US" w:eastAsia="zh-CN"/>
        </w:rPr>
        <w:t>询价采购</w:t>
      </w:r>
      <w:r>
        <w:rPr>
          <w:rFonts w:hint="default"/>
        </w:rPr>
        <w:t>文件、采购过程、中标或者成交结果使自己</w:t>
      </w:r>
      <w:r>
        <w:rPr>
          <w:rFonts w:hint="default" w:ascii="Times New Roman" w:hAnsi="Times New Roman" w:cs="Times New Roman"/>
          <w:color w:val="auto"/>
          <w:kern w:val="0"/>
          <w:sz w:val="32"/>
          <w:szCs w:val="32"/>
          <w:highlight w:val="none"/>
          <w:lang w:val="en-US" w:eastAsia="zh-CN" w:bidi="ar-SA"/>
        </w:rPr>
        <w:t>的权益受到损害的，可以在知道或者应知其权益受到损害之日起7个</w:t>
      </w:r>
      <w:r>
        <w:rPr>
          <w:rFonts w:hint="default"/>
        </w:rPr>
        <w:t>工作日内，以书面形式向采购人提出质疑。质疑内容不得含有虚假、恶意成分。当事人对自己提出的主张，有责任提供证据，提出质疑时应同时提交相关证据材料和注明事实的确切来源。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default"/>
        </w:rPr>
        <w:t>提出质疑的供应商（以下简称质疑供应商）应当是参与所质疑项目采购活动的供应商。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default"/>
        </w:rPr>
        <w:t>潜在供应商已依法获取</w:t>
      </w:r>
      <w:r>
        <w:rPr>
          <w:rFonts w:hint="default"/>
          <w:lang w:val="en-US" w:eastAsia="zh-CN"/>
        </w:rPr>
        <w:t>询价</w:t>
      </w:r>
      <w:r>
        <w:rPr>
          <w:rFonts w:hint="default"/>
        </w:rPr>
        <w:t>采购文件的，可以对该文件提出质疑。对采购文件提出质疑的，应当在获取</w:t>
      </w:r>
      <w:r>
        <w:rPr>
          <w:rFonts w:hint="default"/>
          <w:lang w:val="en-US" w:eastAsia="zh-CN"/>
        </w:rPr>
        <w:t>询价采购</w:t>
      </w:r>
      <w:r>
        <w:rPr>
          <w:rFonts w:hint="default"/>
        </w:rPr>
        <w:t>文件或者采购公告期限届满之日（报名结束之日）起</w:t>
      </w:r>
      <w:r>
        <w:rPr>
          <w:rFonts w:hint="default" w:ascii="Times New Roman" w:hAnsi="Times New Roman" w:cs="Times New Roman"/>
          <w:color w:val="auto"/>
          <w:kern w:val="0"/>
          <w:sz w:val="32"/>
          <w:szCs w:val="32"/>
          <w:highlight w:val="none"/>
          <w:lang w:val="en-US" w:eastAsia="zh-CN" w:bidi="ar-SA"/>
        </w:rPr>
        <w:t>3</w:t>
      </w:r>
      <w:r>
        <w:rPr>
          <w:rFonts w:hint="default"/>
        </w:rPr>
        <w:t>个工作日内提出。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受理质疑部门：详见须知前附表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采购人</w:t>
      </w:r>
      <w:r>
        <w:rPr>
          <w:rFonts w:hint="eastAsia"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供应商提供的质疑书应符合中华人民共和国财政部令第94号《政府采购质疑和投诉办法》的规定。供应商提供的质疑书（如材料中有外文资料应同时附上中文译本）应当包括以下主要内容：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）质疑项目的名称、编号；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）事实依据；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cs="Times New Roman"/>
          <w:color w:val="auto"/>
          <w:kern w:val="0"/>
          <w:sz w:val="32"/>
          <w:szCs w:val="32"/>
          <w:highlight w:val="none"/>
          <w:lang w:val="en-US" w:eastAsia="zh-CN" w:bidi="ar-SA"/>
        </w:rPr>
        <w:t>）必要的法律依据；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6</w:t>
      </w:r>
      <w:r>
        <w:rPr>
          <w:rFonts w:hint="default" w:ascii="Times New Roman" w:hAnsi="Times New Roman" w:cs="Times New Roman"/>
          <w:color w:val="auto"/>
          <w:kern w:val="0"/>
          <w:sz w:val="32"/>
          <w:szCs w:val="32"/>
          <w:highlight w:val="none"/>
          <w:lang w:val="en-US" w:eastAsia="zh-CN" w:bidi="ar-SA"/>
        </w:rPr>
        <w:t>）提出质疑的日期。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质疑书实行实名制，供应商为自然人的，应当由本人签字；供应商为法人或者其他组织的，应当由法定代表人、主要负责人，或者其授权代表签字或者盖章，并加盖公章的原件。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采购人不得拒收质疑供应商在法定质疑期内发出的质疑函，应当在收到质疑函后7个工作日内作出答复，并以书面形式通知质疑供应商和其他有关供应商。质疑答复的内容不得涉及商业秘密。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bookmarkStart w:id="12" w:name="_Toc476856065"/>
      <w:bookmarkStart w:id="13" w:name="_Toc480665479"/>
      <w:bookmarkStart w:id="14" w:name="_Toc475291682"/>
      <w:bookmarkStart w:id="15" w:name="_Toc476848360"/>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参与本项目采购活动的供应商对评审过程或者结果提出质疑的，采购人可以组织原评审专家协助处理质疑事项，并依据评审专家出具的意见进行答复。</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cs="Times New Roman"/>
          <w:color w:val="auto"/>
          <w:kern w:val="0"/>
          <w:sz w:val="32"/>
          <w:szCs w:val="32"/>
          <w:highlight w:val="none"/>
          <w:lang w:val="en-US" w:eastAsia="zh-CN" w:bidi="ar-SA"/>
        </w:rPr>
        <w:t>针对同一采购程序环节的质疑，供应商在法定质疑期内应当一次性提出。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bookmarkStart w:id="16" w:name="_Toc476856066"/>
      <w:bookmarkStart w:id="17" w:name="_Toc476848361"/>
      <w:bookmarkStart w:id="18" w:name="_Toc321836357"/>
      <w:bookmarkStart w:id="19" w:name="_Toc475291683"/>
      <w:bookmarkStart w:id="20" w:name="_Toc480665480"/>
      <w:r>
        <w:rPr>
          <w:rFonts w:hint="eastAsia" w:ascii="Times New Roman" w:hAnsi="Times New Roman" w:cs="Times New Roman"/>
          <w:color w:val="auto"/>
          <w:kern w:val="0"/>
          <w:sz w:val="32"/>
          <w:szCs w:val="32"/>
          <w:highlight w:val="none"/>
          <w:lang w:val="en-US" w:eastAsia="zh-CN" w:bidi="ar-SA"/>
        </w:rPr>
        <w:t>（七）</w:t>
      </w:r>
      <w:r>
        <w:rPr>
          <w:rFonts w:hint="default" w:ascii="Times New Roman" w:hAnsi="Times New Roman" w:cs="Times New Roman"/>
          <w:color w:val="auto"/>
          <w:kern w:val="0"/>
          <w:sz w:val="32"/>
          <w:szCs w:val="32"/>
          <w:highlight w:val="none"/>
          <w:lang w:val="en-US" w:eastAsia="zh-CN" w:bidi="ar-SA"/>
        </w:rPr>
        <w:t>投诉</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投诉必须首先经过质疑程序。质疑供应商对采购人的答复不满意，或者采购人未在规定的时间内做出答复的，可以在答复期满后十五个工作日内书面向采购人监督部门（投诉管理办公室）提出投诉，但根据相关文件规定，投诉内容不得超过质疑内容范围。采购人监督部门调查的确出现影响采购公正的违法、违规行为的，立即取消本次采购活动，并按采购人有关规定进行处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投诉受理部门：大理州第二人民医院纪委办公室；联系电话：0872-2184764；地址：大理市满江街道红山路与太和路交汇处。（大理州第二人民</w:t>
      </w:r>
      <w:r>
        <w:rPr>
          <w:rFonts w:hint="default"/>
          <w:lang w:val="en-US" w:eastAsia="zh-CN"/>
        </w:rPr>
        <w:t>医院行政后勤楼</w:t>
      </w:r>
      <w:r>
        <w:rPr>
          <w:rFonts w:hint="eastAsia"/>
          <w:lang w:val="en-US" w:eastAsia="zh-CN"/>
        </w:rPr>
        <w:t>四</w:t>
      </w:r>
      <w:r>
        <w:rPr>
          <w:rFonts w:hint="default"/>
          <w:lang w:val="en-US" w:eastAsia="zh-CN"/>
        </w:rPr>
        <w:t>楼</w:t>
      </w:r>
      <w:r>
        <w:rPr>
          <w:rFonts w:hint="eastAsia"/>
          <w:lang w:val="en-US" w:eastAsia="zh-CN"/>
        </w:rPr>
        <w:t>纪委</w:t>
      </w:r>
      <w:r>
        <w:rPr>
          <w:rFonts w:hint="default"/>
          <w:lang w:val="en-US" w:eastAsia="zh-CN"/>
        </w:rPr>
        <w:t>办公室）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eastAsia="zh-CN"/>
        </w:rPr>
      </w:pPr>
      <w:bookmarkStart w:id="21" w:name="_Toc393354831"/>
      <w:bookmarkStart w:id="22" w:name="_Toc475291684"/>
      <w:bookmarkStart w:id="23" w:name="_Toc26980"/>
      <w:r>
        <w:rPr>
          <w:rFonts w:hint="default"/>
        </w:rPr>
        <w:t>二、</w:t>
      </w:r>
      <w:bookmarkEnd w:id="21"/>
      <w:bookmarkEnd w:id="22"/>
      <w:r>
        <w:rPr>
          <w:rFonts w:hint="default"/>
          <w:lang w:val="en-US" w:eastAsia="zh-CN"/>
        </w:rPr>
        <w:t>询价采购</w:t>
      </w:r>
      <w:r>
        <w:rPr>
          <w:rFonts w:hint="default"/>
          <w:lang w:eastAsia="zh-CN"/>
        </w:rPr>
        <w:t>文件</w:t>
      </w:r>
      <w:bookmarkEnd w:id="23"/>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val="en-US" w:eastAsia="zh-CN"/>
        </w:rPr>
        <w:t>（八）</w:t>
      </w:r>
      <w:r>
        <w:rPr>
          <w:rFonts w:hint="default"/>
          <w:lang w:val="en-US" w:eastAsia="zh-CN"/>
        </w:rPr>
        <w:t>询价</w:t>
      </w:r>
      <w:r>
        <w:rPr>
          <w:rFonts w:hint="default"/>
          <w:lang w:eastAsia="zh-CN"/>
        </w:rPr>
        <w:t>采购文件</w:t>
      </w:r>
      <w:r>
        <w:rPr>
          <w:rFonts w:hint="default"/>
        </w:rPr>
        <w:t>构成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要</w:t>
      </w:r>
      <w:r>
        <w:rPr>
          <w:rFonts w:hint="default"/>
        </w:rPr>
        <w:t>求提供的货物</w:t>
      </w:r>
      <w:r>
        <w:rPr>
          <w:rFonts w:hint="default"/>
          <w:lang w:eastAsia="zh-CN"/>
        </w:rPr>
        <w:t>（</w:t>
      </w:r>
      <w:r>
        <w:rPr>
          <w:rFonts w:hint="default"/>
          <w:lang w:val="en-US" w:eastAsia="zh-CN"/>
        </w:rPr>
        <w:t>服务或工程</w:t>
      </w:r>
      <w:r>
        <w:rPr>
          <w:rFonts w:hint="default"/>
          <w:lang w:eastAsia="zh-CN"/>
        </w:rPr>
        <w:t>）</w:t>
      </w:r>
      <w:r>
        <w:rPr>
          <w:rFonts w:hint="default"/>
        </w:rPr>
        <w:t>、采购过程及合同条款在</w:t>
      </w:r>
      <w:r>
        <w:rPr>
          <w:rFonts w:hint="default"/>
          <w:lang w:val="en-US" w:eastAsia="zh-CN"/>
        </w:rPr>
        <w:t>询价采购</w:t>
      </w:r>
      <w:r>
        <w:rPr>
          <w:rFonts w:hint="default"/>
          <w:lang w:eastAsia="zh-CN"/>
        </w:rPr>
        <w:t>文件</w:t>
      </w:r>
      <w:r>
        <w:rPr>
          <w:rFonts w:hint="default"/>
        </w:rPr>
        <w:t>中均有说明，</w:t>
      </w:r>
      <w:r>
        <w:rPr>
          <w:rFonts w:hint="default"/>
          <w:lang w:val="en-US" w:eastAsia="zh-CN"/>
        </w:rPr>
        <w:t>询价采购</w:t>
      </w:r>
      <w:r>
        <w:rPr>
          <w:rFonts w:hint="default"/>
          <w:lang w:eastAsia="zh-CN"/>
        </w:rPr>
        <w:t>文件</w:t>
      </w:r>
      <w:r>
        <w:rPr>
          <w:rFonts w:hint="default"/>
        </w:rPr>
        <w:t>共六章，各章的内容如下：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default"/>
        </w:rPr>
        <w:t xml:space="preserve">第一章  </w:t>
      </w:r>
      <w:r>
        <w:rPr>
          <w:rFonts w:hint="default"/>
          <w:lang w:val="en-US" w:eastAsia="zh-CN"/>
        </w:rPr>
        <w:t>询价公告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default"/>
        </w:rPr>
        <w:t>第二章  供应商须知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default"/>
        </w:rPr>
        <w:t>第三章  合同书样式及主要条款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default"/>
        </w:rPr>
        <w:t xml:space="preserve">第四章  </w:t>
      </w:r>
      <w:r>
        <w:rPr>
          <w:rFonts w:hint="default"/>
          <w:lang w:val="en-US" w:eastAsia="zh-CN"/>
        </w:rPr>
        <w:t>询价</w:t>
      </w:r>
      <w:r>
        <w:rPr>
          <w:rFonts w:hint="default"/>
        </w:rPr>
        <w:t>响应文件格式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default"/>
        </w:rPr>
        <w:t xml:space="preserve">第五章  </w:t>
      </w:r>
      <w:r>
        <w:rPr>
          <w:rFonts w:hint="default"/>
          <w:lang w:val="en-US" w:eastAsia="zh-CN"/>
        </w:rPr>
        <w:t>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default"/>
        </w:rPr>
        <w:t xml:space="preserve">第六章  </w:t>
      </w:r>
      <w:r>
        <w:rPr>
          <w:rFonts w:hint="default"/>
          <w:lang w:val="en-US" w:eastAsia="zh-CN"/>
        </w:rPr>
        <w:t>评审</w:t>
      </w:r>
      <w:r>
        <w:rPr>
          <w:rFonts w:hint="default"/>
        </w:rPr>
        <w:t>方法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（九）</w:t>
      </w:r>
      <w:r>
        <w:rPr>
          <w:rFonts w:hint="default"/>
          <w:lang w:val="en-US" w:eastAsia="zh-CN"/>
        </w:rPr>
        <w:t>询价采购</w:t>
      </w:r>
      <w:r>
        <w:rPr>
          <w:rFonts w:hint="default"/>
          <w:lang w:eastAsia="zh-CN"/>
        </w:rPr>
        <w:t>文件</w:t>
      </w:r>
      <w:r>
        <w:rPr>
          <w:rFonts w:hint="default"/>
        </w:rPr>
        <w:t>的澄清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 xml:space="preserve">供应商应认真核查询价采购文件，如有疑问的，供应商可以在 </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规定截止时间前以澄清函形式要求采购人澄清，截止时间后送达的澄清要求不予接受。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采购人将以书面形式答复供应商（答复中不包含问题的来源）要求澄清的问题，其他澄清方式为无效。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w:t>
      </w:r>
      <w:r>
        <w:rPr>
          <w:rFonts w:hint="default" w:ascii="Times New Roman" w:hAnsi="Times New Roman" w:cs="Times New Roman"/>
          <w:color w:val="auto"/>
          <w:kern w:val="0"/>
          <w:sz w:val="32"/>
          <w:szCs w:val="32"/>
          <w:highlight w:val="none"/>
          <w:lang w:val="en-US" w:eastAsia="zh-CN" w:bidi="ar-SA"/>
        </w:rPr>
        <w:t>询价采购文件的澄清或者修改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采购人对已发出的询价采购文件进行必要澄清或者修改的，于询价采购文件要求提交询价响应文件截止时间3个工作日前，以书面形式通知供应商。该澄清或者修改的内容为询价采购文件的组成</w:t>
      </w:r>
      <w:r>
        <w:rPr>
          <w:rFonts w:hint="eastAsia" w:ascii="Times New Roman" w:hAnsi="Times New Roman" w:cs="Times New Roman"/>
          <w:color w:val="auto"/>
          <w:kern w:val="0"/>
          <w:sz w:val="32"/>
          <w:szCs w:val="32"/>
          <w:highlight w:val="none"/>
          <w:lang w:val="en-US" w:eastAsia="zh-CN" w:bidi="ar-SA"/>
        </w:rPr>
        <w:t>部份</w:t>
      </w:r>
      <w:r>
        <w:rPr>
          <w:rFonts w:hint="default"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采购人可以视采购具体情况，延长投标截止时间和开标时间，但至少在询价采购文件要求提交询价响应文件的截止时间3个工作日前，修改询价采购文件的时间距投标截止时间不足 3 个工作日的，并且修改内容可能影响询价响应文件编制的，</w:t>
      </w:r>
      <w:r>
        <w:rPr>
          <w:rFonts w:hint="default"/>
        </w:rPr>
        <w:t>将相应延长投标截止时间。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bookmarkStart w:id="24" w:name="_Toc393354832"/>
      <w:bookmarkStart w:id="25" w:name="_Toc7129"/>
      <w:bookmarkStart w:id="26" w:name="_Toc475291685"/>
      <w:r>
        <w:rPr>
          <w:rFonts w:hint="default"/>
        </w:rPr>
        <w:t>三、</w:t>
      </w:r>
      <w:r>
        <w:rPr>
          <w:rFonts w:hint="default"/>
          <w:lang w:val="en-US" w:eastAsia="zh-CN"/>
        </w:rPr>
        <w:t>询价</w:t>
      </w:r>
      <w:r>
        <w:rPr>
          <w:rFonts w:hint="default"/>
        </w:rPr>
        <w:t>响应文件</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（十一）</w:t>
      </w:r>
      <w:r>
        <w:rPr>
          <w:rFonts w:hint="default"/>
          <w:lang w:val="en-US" w:eastAsia="zh-CN"/>
        </w:rPr>
        <w:t>询价</w:t>
      </w:r>
      <w:r>
        <w:rPr>
          <w:rFonts w:hint="default"/>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供应商应仔细阅读询价采购文件，在完全了解第五章采购需求和商务条件后，编写询价响应文件。询价响应文件必须响应询价采购文件的实质性要求和条件。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对</w:t>
      </w:r>
      <w:r>
        <w:rPr>
          <w:rFonts w:hint="default"/>
          <w:lang w:val="en-US" w:eastAsia="zh-CN"/>
        </w:rPr>
        <w:t>询价</w:t>
      </w:r>
      <w:r>
        <w:rPr>
          <w:rFonts w:hint="default"/>
          <w:lang w:eastAsia="zh-CN"/>
        </w:rPr>
        <w:t>采购文件</w:t>
      </w:r>
      <w:r>
        <w:rPr>
          <w:rFonts w:hint="default"/>
        </w:rPr>
        <w:t>提出的实质性要求和条件作出响应是指：供应商必须对</w:t>
      </w:r>
      <w:r>
        <w:rPr>
          <w:rFonts w:hint="default"/>
          <w:lang w:val="en-US" w:eastAsia="zh-CN"/>
        </w:rPr>
        <w:t>询价</w:t>
      </w:r>
      <w:r>
        <w:rPr>
          <w:rFonts w:hint="default"/>
          <w:lang w:eastAsia="zh-CN"/>
        </w:rPr>
        <w:t>采购文件</w:t>
      </w:r>
      <w:r>
        <w:rPr>
          <w:rFonts w:hint="default"/>
        </w:rPr>
        <w:t>中的实质性要求和条件的内容作出满足或者优于原要求和条件的承诺，并提供相应的证明材料。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（十二）</w:t>
      </w:r>
      <w:r>
        <w:rPr>
          <w:rFonts w:hint="default"/>
        </w:rPr>
        <w:t>投标的语言及计量单位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供应商的询价响应文件以及供应商与采购人就有关投标的所有来往函电统一使用中文（特别规定除外）。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询</w:t>
      </w:r>
      <w:r>
        <w:rPr>
          <w:rFonts w:hint="default"/>
          <w:lang w:val="en-US" w:eastAsia="zh-CN"/>
        </w:rPr>
        <w:t>价</w:t>
      </w:r>
      <w:r>
        <w:rPr>
          <w:rFonts w:hint="default"/>
        </w:rPr>
        <w:t>响应文件中使用的计量单位除</w:t>
      </w:r>
      <w:r>
        <w:rPr>
          <w:rFonts w:hint="default"/>
          <w:lang w:val="en-US" w:eastAsia="zh-CN"/>
        </w:rPr>
        <w:t>询价</w:t>
      </w:r>
      <w:r>
        <w:rPr>
          <w:rFonts w:hint="default"/>
          <w:lang w:eastAsia="zh-CN"/>
        </w:rPr>
        <w:t>采购文件</w:t>
      </w:r>
      <w:r>
        <w:rPr>
          <w:rFonts w:hint="default"/>
        </w:rPr>
        <w:t>中有特殊规定外，一律使用中国法定计量单位。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（十三）</w:t>
      </w:r>
      <w:r>
        <w:rPr>
          <w:rFonts w:hint="default"/>
          <w:lang w:val="en-US" w:eastAsia="zh-CN"/>
        </w:rPr>
        <w:t>询价</w:t>
      </w:r>
      <w:r>
        <w:rPr>
          <w:rFonts w:hint="default"/>
        </w:rPr>
        <w:t>响应文件构成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询价文件组成以第四章</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询价响应文件格式</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为准，供应商编写的询价响应文件应按第四章</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询价响应文件格式</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要求填写，询价响应文件编制需有目录及对应页码。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供应商对询价响应文件的合法性、真实性、有效性负全部责任。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（十四）</w:t>
      </w:r>
      <w:r>
        <w:rPr>
          <w:rFonts w:hint="default" w:ascii="Times New Roman" w:hAnsi="Times New Roman" w:cs="Times New Roman"/>
          <w:color w:val="auto"/>
          <w:kern w:val="0"/>
          <w:sz w:val="32"/>
          <w:szCs w:val="32"/>
          <w:highlight w:val="none"/>
          <w:lang w:val="en-US" w:eastAsia="zh-CN" w:bidi="ar-SA"/>
        </w:rPr>
        <w:t>询价响应文件的格式要求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供应商应统一按第四章</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询价响应文件格式</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提供的格式完整地填写。有关文件的提交如未特别注明需提供原件的，可提供扫描件。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（十五）</w:t>
      </w:r>
      <w:r>
        <w:rPr>
          <w:rFonts w:hint="default" w:ascii="Times New Roman" w:hAnsi="Times New Roman" w:cs="Times New Roman"/>
          <w:color w:val="auto"/>
          <w:kern w:val="0"/>
          <w:sz w:val="32"/>
          <w:szCs w:val="32"/>
          <w:highlight w:val="none"/>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投标报价是指完成本项目所需的各种费用及必要的保险费用和各项税金等所有费用的总和。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供应商须就</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第五章 采购需求</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中的所投包货物（服务）内容作完整唯一报价；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color w:val="auto"/>
          <w:kern w:val="0"/>
          <w:sz w:val="32"/>
          <w:szCs w:val="32"/>
          <w:highlight w:val="none"/>
          <w:lang w:val="en-US" w:eastAsia="zh-CN" w:bidi="ar-SA"/>
        </w:rPr>
        <w:t>3.</w:t>
      </w:r>
      <w:r>
        <w:rPr>
          <w:rFonts w:hint="default"/>
          <w:lang w:val="en-US" w:eastAsia="zh-CN"/>
        </w:rPr>
        <w:t>供应商应依据询价采购文件的要求及有关资料，按国家或行业现行技术经济标准、定额及规范，自行测算出满足采购要求的投标货物（服务）的报价。报价应符合国内行情并能保证供应商完成履行合同所需的一切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lang w:val="en-US" w:eastAsia="zh-CN"/>
        </w:rPr>
        <w:t>4</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中标后，因实施本项目所引起的一切费用视为已包含在报价中，采购人将不再做任何调整。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（十六）</w:t>
      </w:r>
      <w:r>
        <w:rPr>
          <w:rFonts w:hint="default" w:ascii="Times New Roman" w:hAnsi="Times New Roman" w:cs="Times New Roman"/>
          <w:color w:val="auto"/>
          <w:kern w:val="0"/>
          <w:sz w:val="32"/>
          <w:szCs w:val="32"/>
          <w:highlight w:val="none"/>
          <w:lang w:val="en-US" w:eastAsia="zh-CN" w:bidi="ar-SA"/>
        </w:rPr>
        <w:t>投标货币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投标以人民币报价。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（十七）</w:t>
      </w:r>
      <w:r>
        <w:rPr>
          <w:rFonts w:hint="default" w:ascii="Times New Roman" w:hAnsi="Times New Roman" w:cs="Times New Roman"/>
          <w:color w:val="auto"/>
          <w:kern w:val="0"/>
          <w:sz w:val="32"/>
          <w:szCs w:val="32"/>
          <w:highlight w:val="none"/>
          <w:lang w:val="en-US" w:eastAsia="zh-CN" w:bidi="ar-SA"/>
        </w:rPr>
        <w:t>询价响应文件有效期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规定的投标有效期内，供应商不得要求撤销或修改其询价响应文件。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在特殊情况需要延长投标有效期的，采购人以书面形式通知供应商延长投标有效期。供应商同意延长的，但不得要求或被允许修改或撤销其询价响应文件；供应商拒绝延长的，其询价响应文件失效。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（十八）</w:t>
      </w:r>
      <w:r>
        <w:rPr>
          <w:rFonts w:hint="default" w:ascii="Times New Roman" w:hAnsi="Times New Roman" w:cs="Times New Roman"/>
          <w:color w:val="auto"/>
          <w:kern w:val="0"/>
          <w:sz w:val="32"/>
          <w:szCs w:val="32"/>
          <w:highlight w:val="none"/>
          <w:lang w:val="en-US" w:eastAsia="zh-CN" w:bidi="ar-SA"/>
        </w:rPr>
        <w:t>询价响应文件的编制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询价响应文件按第四章</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询价响应文件格式</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要求填写。有关文件的提交如未特别注明需提供原件的，可提供扫描件。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询</w:t>
      </w:r>
      <w:r>
        <w:rPr>
          <w:rFonts w:hint="default"/>
          <w:lang w:val="en-US" w:eastAsia="zh-CN"/>
        </w:rPr>
        <w:t>价</w:t>
      </w:r>
      <w:r>
        <w:rPr>
          <w:rFonts w:hint="default"/>
        </w:rPr>
        <w:t>响应文件应尽量避免涂改、行间插字或删除。如果出现上述情况，改动之处应加盖公章或由供应商的法定代表人或其委托代理人签字确认。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关键内容字迹潦草、表达不清、未按要求填写而导致非唯一理解，视为未实质性响应询价采购文件的询价响应文件。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询价响应文件中提供的资料（包括扫描件），内容必须清晰可辨，若内容模糊，无法辨识，均视为未提供。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cs="Times New Roman"/>
          <w:color w:val="auto"/>
          <w:kern w:val="0"/>
          <w:sz w:val="32"/>
          <w:szCs w:val="32"/>
          <w:highlight w:val="none"/>
          <w:lang w:val="en-US" w:eastAsia="zh-CN" w:bidi="ar-SA"/>
        </w:rPr>
        <w:t>询价响应文件应由法定代表人或其委托代理人在规定签字盖章处逐一签字盖章，要求盖章处应盖单位公章。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（十九）</w:t>
      </w:r>
      <w:r>
        <w:rPr>
          <w:rFonts w:hint="default" w:ascii="Times New Roman" w:hAnsi="Times New Roman" w:cs="Times New Roman"/>
          <w:color w:val="auto"/>
          <w:kern w:val="0"/>
          <w:sz w:val="32"/>
          <w:szCs w:val="32"/>
          <w:highlight w:val="none"/>
          <w:lang w:val="en-US" w:eastAsia="zh-CN" w:bidi="ar-SA"/>
        </w:rPr>
        <w:t>投标保证金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1.</w:t>
      </w:r>
      <w:r>
        <w:rPr>
          <w:rFonts w:hint="default"/>
        </w:rPr>
        <w:t>投标保证金：本项目无需提交投标保证金。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bookmarkStart w:id="27" w:name="_Toc475291686"/>
      <w:bookmarkStart w:id="28" w:name="_Toc3914"/>
      <w:bookmarkStart w:id="29" w:name="_Toc393354833"/>
      <w:r>
        <w:rPr>
          <w:rFonts w:hint="default"/>
        </w:rPr>
        <w:t>四、</w:t>
      </w:r>
      <w:r>
        <w:rPr>
          <w:rFonts w:hint="default"/>
          <w:lang w:val="en-US" w:eastAsia="zh-CN"/>
        </w:rPr>
        <w:t>询价</w:t>
      </w:r>
      <w:r>
        <w:rPr>
          <w:rFonts w:hint="default"/>
        </w:rPr>
        <w:t>响应文件的提交</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（二十）</w:t>
      </w:r>
      <w:r>
        <w:rPr>
          <w:rFonts w:hint="default"/>
          <w:lang w:val="en-US" w:eastAsia="zh-CN"/>
        </w:rPr>
        <w:t>询价</w:t>
      </w:r>
      <w:r>
        <w:rPr>
          <w:rFonts w:hint="default"/>
        </w:rPr>
        <w:t>响应文件的密封与标记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供应商应按</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中规定的数量提交响应文件。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供应商应将</w:t>
      </w:r>
      <w:r>
        <w:rPr>
          <w:rFonts w:hint="eastAsia" w:ascii="Times New Roman" w:hAnsi="Times New Roman" w:cs="Times New Roman"/>
          <w:color w:val="auto"/>
          <w:kern w:val="0"/>
          <w:sz w:val="32"/>
          <w:szCs w:val="32"/>
          <w:highlight w:val="none"/>
          <w:lang w:val="en-US" w:eastAsia="zh-CN" w:bidi="ar-SA"/>
        </w:rPr>
        <w:t>响应</w:t>
      </w:r>
      <w:r>
        <w:rPr>
          <w:rFonts w:hint="default" w:ascii="Times New Roman" w:hAnsi="Times New Roman" w:cs="Times New Roman"/>
          <w:color w:val="auto"/>
          <w:kern w:val="0"/>
          <w:sz w:val="32"/>
          <w:szCs w:val="32"/>
          <w:highlight w:val="none"/>
          <w:lang w:val="en-US" w:eastAsia="zh-CN" w:bidi="ar-SA"/>
        </w:rPr>
        <w:t>文件加以密封，并在封贴处盖密封章（或单位公章），未按询价采购文件要求密封并在封贴处盖章或密封不完好的，采购人按无效投标不予接收。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3.</w:t>
      </w:r>
      <w:r>
        <w:rPr>
          <w:rFonts w:hint="default"/>
          <w:lang w:val="en-US" w:eastAsia="zh-CN"/>
        </w:rPr>
        <w:t>询价</w:t>
      </w:r>
      <w:r>
        <w:rPr>
          <w:rFonts w:hint="default"/>
        </w:rPr>
        <w:t>响应文件袋的封面应注明项目名称、</w:t>
      </w:r>
      <w:r>
        <w:rPr>
          <w:rFonts w:hint="default"/>
          <w:lang w:eastAsia="zh-CN"/>
        </w:rPr>
        <w:t>项目编号</w:t>
      </w:r>
      <w:r>
        <w:rPr>
          <w:rFonts w:hint="default"/>
        </w:rPr>
        <w:t>、供应商名称、详细通讯地址、邮政编码。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供应商在投标截止时间前，可以对所递交的询价响应文件进行补充、修改。补充、修改的内容应当按询价采购文件要求签署、盖章，并作为询价响应文件的组成</w:t>
      </w:r>
      <w:r>
        <w:rPr>
          <w:rFonts w:hint="eastAsia" w:ascii="Times New Roman" w:hAnsi="Times New Roman" w:cs="Times New Roman"/>
          <w:color w:val="auto"/>
          <w:kern w:val="0"/>
          <w:sz w:val="32"/>
          <w:szCs w:val="32"/>
          <w:highlight w:val="none"/>
          <w:lang w:val="en-US" w:eastAsia="zh-CN" w:bidi="ar-SA"/>
        </w:rPr>
        <w:t>部份</w:t>
      </w:r>
      <w:r>
        <w:rPr>
          <w:rFonts w:hint="default"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cs="Times New Roman"/>
          <w:color w:val="auto"/>
          <w:kern w:val="0"/>
          <w:sz w:val="32"/>
          <w:szCs w:val="32"/>
          <w:highlight w:val="none"/>
          <w:lang w:val="en-US" w:eastAsia="zh-CN" w:bidi="ar-SA"/>
        </w:rPr>
        <w:t>截止时间后，所收到的询价响应文件无论成交与否概不退还。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（二十一）</w:t>
      </w:r>
      <w:r>
        <w:rPr>
          <w:rFonts w:hint="default" w:ascii="Times New Roman" w:hAnsi="Times New Roman" w:cs="Times New Roman"/>
          <w:color w:val="auto"/>
          <w:kern w:val="0"/>
          <w:sz w:val="32"/>
          <w:szCs w:val="32"/>
          <w:highlight w:val="none"/>
          <w:lang w:val="en-US" w:eastAsia="zh-CN" w:bidi="ar-SA"/>
        </w:rPr>
        <w:t>提交询价响应文件截止时间和地点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询价响应文件的提交不得迟于</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规定的询价响应文件截止时间。逾期送达的询价响应文件，采购人不予接收。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供应商必须在规定时间内将询价响应文件提交到</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规定的地点。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除</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另有规定外，供应商所递交的询价响</w:t>
      </w:r>
      <w:r>
        <w:rPr>
          <w:rFonts w:hint="default"/>
        </w:rPr>
        <w:t>应文件不予退还。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bookmarkStart w:id="30" w:name="_Toc393354834"/>
      <w:bookmarkStart w:id="31" w:name="_Toc475291687"/>
      <w:bookmarkStart w:id="32" w:name="_Toc20283"/>
      <w:r>
        <w:rPr>
          <w:rFonts w:hint="default"/>
        </w:rPr>
        <w:t>五、开标与评标</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（二十二）</w:t>
      </w:r>
      <w:r>
        <w:rPr>
          <w:rFonts w:hint="default"/>
        </w:rPr>
        <w:t>开标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采购人将在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规定的时间和地点进行开标，供应商的法定代表人或其委托代理人应参加开标会，如供应商代表未出席开标会，视为其默认现场唱标结果，由此产生的后果由供应商自行负责。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开标程序：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（1）开标会由采购人主持，主持人宣布开标会议开始并介绍项目基本情况；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（2）主持人宣读开标（评标）纪律；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（3）介绍参加开标会的人员后询问采购人或投标人是否需要回避情形；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（4）评标小组成员和参加评标活动有关的工作人员在评标前应签署政府采购（含院内采购）廉政承诺书，并在评标过程中严格遵守承诺；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（5）签订投标人廉政承诺书；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（6）监督人员检验询价响应文件密封性；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（7）唱标：公布供应商名称、投标报价及其他内容，记录在案。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（8）宣布评标期间的有关事项；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（9）开标会议结束。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开标工作人员将做开标记录，供应商对唱标结果签字确认。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供</w:t>
      </w:r>
      <w:r>
        <w:rPr>
          <w:rFonts w:hint="default"/>
          <w:lang w:val="en-US" w:eastAsia="zh-CN"/>
        </w:rPr>
        <w:t>应商对开标有异议的，应当在开标现场提出，采购人应当当场作出答复，并制作记录。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rPr>
      </w:pPr>
      <w:r>
        <w:rPr>
          <w:rFonts w:hint="eastAsia"/>
          <w:lang w:eastAsia="zh-CN"/>
        </w:rPr>
        <w:t>（二十三）</w:t>
      </w:r>
      <w:r>
        <w:rPr>
          <w:rFonts w:hint="default"/>
        </w:rPr>
        <w:t>评标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由采购人依法组建的询价小组负责。询价小组由采购人使用部门、各归口管理部门、财务部门等组成，成员人数应当为3人以上单数。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bookmarkStart w:id="33" w:name="_Toc191374422"/>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评标原则</w:t>
      </w:r>
      <w:bookmarkEnd w:id="33"/>
      <w:r>
        <w:rPr>
          <w:rFonts w:hint="default" w:ascii="Times New Roman" w:hAnsi="Times New Roman" w:cs="Times New Roman"/>
          <w:color w:val="auto"/>
          <w:kern w:val="0"/>
          <w:sz w:val="32"/>
          <w:szCs w:val="32"/>
          <w:highlight w:val="none"/>
          <w:lang w:val="en-US" w:eastAsia="zh-CN" w:bidi="ar-SA"/>
        </w:rPr>
        <w:t>及方法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eastAsia" w:ascii="Times New Roman" w:hAnsi="Times New Roman" w:cs="Times New Roman"/>
          <w:color w:val="auto"/>
          <w:kern w:val="0"/>
          <w:sz w:val="32"/>
          <w:szCs w:val="32"/>
          <w:highlight w:val="none"/>
          <w:lang w:val="en-US" w:eastAsia="zh-CN" w:bidi="ar-SA"/>
        </w:rPr>
        <w:t>2.1</w:t>
      </w:r>
      <w:r>
        <w:rPr>
          <w:rFonts w:hint="default" w:ascii="Times New Roman" w:hAnsi="Times New Roman" w:cs="Times New Roman"/>
          <w:color w:val="auto"/>
          <w:kern w:val="0"/>
          <w:sz w:val="32"/>
          <w:szCs w:val="32"/>
          <w:highlight w:val="none"/>
          <w:lang w:val="en-US" w:eastAsia="zh-CN" w:bidi="ar-SA"/>
        </w:rPr>
        <w:t>评</w:t>
      </w:r>
      <w:r>
        <w:rPr>
          <w:rFonts w:hint="default"/>
        </w:rPr>
        <w:t>标原则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rPr>
      </w:pPr>
      <w:r>
        <w:rPr>
          <w:rFonts w:hint="default"/>
        </w:rPr>
        <w:t>评标应遵循下列原则：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坚持公平、公正、科学、择优的原则，本着实事求是的精神，不带有任何主观意愿和偏见，认真负责地做好评标工作，公平、公正地对待每一个供应商。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全面分析，详细评审。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2.2</w:t>
      </w:r>
      <w:r>
        <w:rPr>
          <w:rFonts w:hint="default" w:ascii="Times New Roman" w:hAnsi="Times New Roman" w:cs="Times New Roman"/>
          <w:color w:val="auto"/>
          <w:kern w:val="0"/>
          <w:sz w:val="32"/>
          <w:szCs w:val="32"/>
          <w:highlight w:val="none"/>
          <w:lang w:val="en-US" w:eastAsia="zh-CN" w:bidi="ar-SA"/>
        </w:rPr>
        <w:t>评标纪律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对评标内容和评标过程要严格保密，不得向供应商或与该过程无关的其它人员泄露；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评标期间的一切资料，包括评标意见、评标记录和评标结论，一律不得向外传和泄露；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任何属于询价响应文件审查、澄清、评价和比较的资料，不得向供应商或与该过程无关的其它人员泄露；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所有资料（包括询价采购文件、询价响应文件、评标表格及各种文字记录）在评标结束后均应分别整理、存档备查，任何人不得复制和保留；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cs="Times New Roman"/>
          <w:color w:val="auto"/>
          <w:kern w:val="0"/>
          <w:sz w:val="32"/>
          <w:szCs w:val="32"/>
          <w:highlight w:val="none"/>
          <w:lang w:val="en-US" w:eastAsia="zh-CN" w:bidi="ar-SA"/>
        </w:rPr>
        <w:t>评标结束后，与会人员不得向外界透露评标人员的评标意见，如因此造成的后果由责任者承担；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（6）</w:t>
      </w:r>
      <w:r>
        <w:rPr>
          <w:rFonts w:hint="default" w:ascii="Times New Roman" w:hAnsi="Times New Roman" w:cs="Times New Roman"/>
          <w:color w:val="auto"/>
          <w:kern w:val="0"/>
          <w:sz w:val="32"/>
          <w:szCs w:val="32"/>
          <w:highlight w:val="none"/>
          <w:lang w:val="en-US" w:eastAsia="zh-CN" w:bidi="ar-SA"/>
        </w:rPr>
        <w:t>评标期间，评标人员不得外出，确需外出时应事先请假；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（7）</w:t>
      </w:r>
      <w:r>
        <w:rPr>
          <w:rFonts w:hint="default" w:ascii="Times New Roman" w:hAnsi="Times New Roman" w:cs="Times New Roman"/>
          <w:color w:val="auto"/>
          <w:kern w:val="0"/>
          <w:sz w:val="32"/>
          <w:szCs w:val="32"/>
          <w:highlight w:val="none"/>
          <w:lang w:val="en-US" w:eastAsia="zh-CN" w:bidi="ar-SA"/>
        </w:rPr>
        <w:t>评标期间，所有与会人员均不得私自以任何方式和供应商进行联系，需询问、澄清的问题由询价小组统一组织办理。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2.3</w:t>
      </w:r>
      <w:r>
        <w:rPr>
          <w:rFonts w:hint="default" w:ascii="Times New Roman" w:hAnsi="Times New Roman" w:cs="Times New Roman"/>
          <w:color w:val="auto"/>
          <w:kern w:val="0"/>
          <w:sz w:val="32"/>
          <w:szCs w:val="32"/>
          <w:highlight w:val="none"/>
          <w:lang w:val="en-US" w:eastAsia="zh-CN" w:bidi="ar-SA"/>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每一评标程序仅对上一评标过程的合格者进行评审。评标程序按：资格审查→符合性评审→详细评审→编写评标报告。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评标方法，详见第六章《评审方法》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评标应当在严格保密的情况下进行。任何单位和个人不得非法干预、影响、诱导评标方法的确定，以及评标过程和结果。谈判小组成员和与评标活动有关的人员在采购活动中应严格遵守采购评审工作纪律，不得向外界泄露评审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（二十四）</w:t>
      </w:r>
      <w:r>
        <w:rPr>
          <w:rFonts w:hint="default" w:ascii="Times New Roman" w:hAnsi="Times New Roman" w:cs="Times New Roman"/>
          <w:color w:val="auto"/>
          <w:kern w:val="0"/>
          <w:sz w:val="32"/>
          <w:szCs w:val="32"/>
          <w:highlight w:val="none"/>
          <w:lang w:val="en-US" w:eastAsia="zh-CN" w:bidi="ar-SA"/>
        </w:rPr>
        <w:t>在采购中，出现下列情形之一的，应予废标：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响应文件递交不足3家或资格审查（含符合性审查）合格供应商不足2家的；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供应商的报价均超过了采购预算或最高限价，采购人不能支付的；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4.</w:t>
      </w:r>
      <w:r>
        <w:rPr>
          <w:rFonts w:hint="default" w:ascii="Times New Roman" w:hAnsi="Times New Roman" w:cs="Times New Roman"/>
          <w:color w:val="auto"/>
          <w:kern w:val="0"/>
          <w:sz w:val="32"/>
          <w:szCs w:val="32"/>
          <w:highlight w:val="none"/>
          <w:lang w:val="en-US" w:eastAsia="zh-CN" w:bidi="ar-SA"/>
        </w:rPr>
        <w:t>因重大变故，采购任务取消的。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default" w:ascii="Times New Roman" w:hAnsi="Times New Roman" w:cs="Times New Roman"/>
          <w:color w:val="auto"/>
          <w:kern w:val="0"/>
          <w:sz w:val="32"/>
          <w:szCs w:val="32"/>
          <w:highlight w:val="none"/>
          <w:lang w:val="en-US" w:eastAsia="zh-CN" w:bidi="ar-SA"/>
        </w:rPr>
        <w:t>废标后，采购人应当将废标理由通知所有供应商。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（二十五）</w:t>
      </w:r>
      <w:r>
        <w:rPr>
          <w:rFonts w:hint="default" w:ascii="Times New Roman" w:hAnsi="Times New Roman" w:cs="Times New Roman"/>
          <w:color w:val="auto"/>
          <w:kern w:val="0"/>
          <w:sz w:val="32"/>
          <w:szCs w:val="32"/>
          <w:highlight w:val="none"/>
          <w:lang w:val="en-US" w:eastAsia="zh-CN" w:bidi="ar-SA"/>
        </w:rPr>
        <w:t>纪律和监督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采购人不得泄露采购活动中应当保密的情况和资料，不得与供应商串通损害国家利益、社会公共利益或者他人合法权益。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供应商不得相互串通或者与采购人串通，不得向采购人或者询价小组行贿谋取成交，不得以他人名义谈判或者以其他方式弄虚作假骗取成交；供应商不得以任何方式干扰、诱导、影响谈判工作。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采购人不得向投标人索要或者接受其给予的赠品、回扣或者与采购无关的其他商品、服务。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bookmarkStart w:id="34" w:name="_Toc475291688"/>
      <w:bookmarkStart w:id="35" w:name="_Toc393354835"/>
      <w:bookmarkStart w:id="36" w:name="_Toc20623"/>
      <w:r>
        <w:rPr>
          <w:rFonts w:hint="default" w:ascii="Times New Roman" w:hAnsi="Times New Roman" w:cs="Times New Roman"/>
          <w:color w:val="auto"/>
          <w:kern w:val="0"/>
          <w:sz w:val="32"/>
          <w:szCs w:val="32"/>
          <w:highlight w:val="none"/>
          <w:lang w:val="en-US" w:eastAsia="zh-CN" w:bidi="ar-SA"/>
        </w:rPr>
        <w:t>六、成交结果</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（二十六）</w:t>
      </w:r>
      <w:r>
        <w:rPr>
          <w:rFonts w:hint="default" w:ascii="Times New Roman" w:hAnsi="Times New Roman" w:cs="Times New Roman"/>
          <w:color w:val="auto"/>
          <w:kern w:val="0"/>
          <w:sz w:val="32"/>
          <w:szCs w:val="32"/>
          <w:highlight w:val="none"/>
          <w:lang w:val="en-US" w:eastAsia="zh-CN" w:bidi="ar-SA"/>
        </w:rPr>
        <w:t>成交供应商的确定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询价小组应当从需求、质量和服务均能满足采购文件实质性响应要求的供应商中，按照报价由低到高的顺序提出1-3家成交候选人，并编写评审报告。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若采购人认为根据</w:t>
      </w: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确定的成交候选人所投产品满足不了本次采购需求，采购人有权不接受中标产品，可做废标处理。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（二十七）</w:t>
      </w:r>
      <w:r>
        <w:rPr>
          <w:rFonts w:hint="default" w:ascii="Times New Roman" w:hAnsi="Times New Roman" w:cs="Times New Roman"/>
          <w:color w:val="auto"/>
          <w:kern w:val="0"/>
          <w:sz w:val="32"/>
          <w:szCs w:val="32"/>
          <w:highlight w:val="none"/>
          <w:lang w:val="en-US" w:eastAsia="zh-CN" w:bidi="ar-SA"/>
        </w:rPr>
        <w:t>成交通知书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成交供应商确定后，采购人向成交供应商发出成交通知书，并公示成交结果；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成交结果在大理州第二人民医院官网（</w:t>
      </w:r>
      <w:r>
        <w:rPr>
          <w:rFonts w:hint="default" w:ascii="Times New Roman" w:hAnsi="Times New Roman" w:cs="Times New Roman"/>
          <w:color w:val="auto"/>
          <w:kern w:val="0"/>
          <w:sz w:val="32"/>
          <w:szCs w:val="32"/>
          <w:highlight w:val="none"/>
          <w:lang w:val="en-US" w:eastAsia="zh-CN" w:bidi="ar-SA"/>
        </w:rPr>
        <w:fldChar w:fldCharType="begin"/>
      </w:r>
      <w:r>
        <w:rPr>
          <w:rFonts w:hint="default" w:ascii="Times New Roman" w:hAnsi="Times New Roman" w:cs="Times New Roman"/>
          <w:color w:val="auto"/>
          <w:kern w:val="0"/>
          <w:sz w:val="32"/>
          <w:szCs w:val="32"/>
          <w:highlight w:val="none"/>
          <w:lang w:val="en-US" w:eastAsia="zh-CN" w:bidi="ar-SA"/>
        </w:rPr>
        <w:instrText xml:space="preserve">HYPERLINK "http://www.dlzdermyy.com/"</w:instrText>
      </w:r>
      <w:r>
        <w:rPr>
          <w:rFonts w:hint="default" w:ascii="Times New Roman" w:hAnsi="Times New Roman" w:cs="Times New Roman"/>
          <w:color w:val="auto"/>
          <w:kern w:val="0"/>
          <w:sz w:val="32"/>
          <w:szCs w:val="32"/>
          <w:highlight w:val="none"/>
          <w:lang w:val="en-US" w:eastAsia="zh-CN" w:bidi="ar-SA"/>
        </w:rPr>
        <w:fldChar w:fldCharType="separate"/>
      </w:r>
      <w:r>
        <w:rPr>
          <w:rFonts w:hint="default" w:ascii="Times New Roman" w:hAnsi="Times New Roman" w:cs="Times New Roman"/>
          <w:color w:val="auto"/>
          <w:kern w:val="0"/>
          <w:sz w:val="32"/>
          <w:szCs w:val="32"/>
          <w:highlight w:val="none"/>
          <w:lang w:val="en-US" w:eastAsia="zh-CN" w:bidi="ar-SA"/>
        </w:rPr>
        <w:t>http://www.dlzdermyy.com/</w:t>
      </w:r>
      <w:r>
        <w:rPr>
          <w:rFonts w:hint="default" w:ascii="Times New Roman" w:hAnsi="Times New Roman" w:cs="Times New Roman"/>
          <w:color w:val="auto"/>
          <w:kern w:val="0"/>
          <w:sz w:val="32"/>
          <w:szCs w:val="32"/>
          <w:highlight w:val="none"/>
          <w:lang w:val="en-US" w:eastAsia="zh-CN" w:bidi="ar-SA"/>
        </w:rPr>
        <w:fldChar w:fldCharType="end"/>
      </w:r>
      <w:r>
        <w:rPr>
          <w:rFonts w:hint="default" w:ascii="Times New Roman" w:hAnsi="Times New Roman" w:cs="Times New Roman"/>
          <w:color w:val="auto"/>
          <w:kern w:val="0"/>
          <w:sz w:val="32"/>
          <w:szCs w:val="32"/>
          <w:highlight w:val="none"/>
          <w:lang w:val="en-US" w:eastAsia="zh-CN" w:bidi="ar-SA"/>
        </w:rPr>
        <w:t>）进行公示；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cs="Times New Roman"/>
          <w:color w:val="auto"/>
          <w:kern w:val="0"/>
          <w:sz w:val="32"/>
          <w:szCs w:val="32"/>
          <w:highlight w:val="none"/>
          <w:lang w:val="en-US" w:eastAsia="zh-CN" w:bidi="ar-SA"/>
        </w:rPr>
        <w:t>成交通知书是合同的组成</w:t>
      </w:r>
      <w:r>
        <w:rPr>
          <w:rFonts w:hint="eastAsia" w:ascii="Times New Roman" w:hAnsi="Times New Roman" w:cs="Times New Roman"/>
          <w:color w:val="auto"/>
          <w:kern w:val="0"/>
          <w:sz w:val="32"/>
          <w:szCs w:val="32"/>
          <w:highlight w:val="none"/>
          <w:lang w:val="en-US" w:eastAsia="zh-CN" w:bidi="ar-SA"/>
        </w:rPr>
        <w:t>部份</w:t>
      </w:r>
      <w:r>
        <w:rPr>
          <w:rFonts w:hint="default"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（二十八）</w:t>
      </w:r>
      <w:r>
        <w:rPr>
          <w:rFonts w:hint="default" w:ascii="Times New Roman" w:hAnsi="Times New Roman" w:cs="Times New Roman"/>
          <w:color w:val="auto"/>
          <w:kern w:val="0"/>
          <w:sz w:val="32"/>
          <w:szCs w:val="32"/>
          <w:highlight w:val="none"/>
          <w:lang w:val="en-US" w:eastAsia="zh-CN" w:bidi="ar-SA"/>
        </w:rPr>
        <w:t>签订合同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采购人与成交供应商应当在成交通知书发出之日起三十日内，按照询价采购文件确定的事项签订采购合同。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成交供应商因不可抗力或者自身原因不能履行采购合同的，项目采购失败。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bookmarkStart w:id="37" w:name="_Toc6479"/>
      <w:bookmarkStart w:id="38" w:name="_Toc393354836"/>
      <w:bookmarkStart w:id="39" w:name="_Toc475291689"/>
      <w:r>
        <w:rPr>
          <w:rFonts w:hint="default" w:ascii="Times New Roman" w:hAnsi="Times New Roman" w:cs="Times New Roman"/>
          <w:color w:val="auto"/>
          <w:kern w:val="0"/>
          <w:sz w:val="32"/>
          <w:szCs w:val="32"/>
          <w:highlight w:val="none"/>
          <w:lang w:val="en-US" w:eastAsia="zh-CN" w:bidi="ar-SA"/>
        </w:rPr>
        <w:t>七、其他事项</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（二十九）</w:t>
      </w:r>
      <w:r>
        <w:rPr>
          <w:rFonts w:hint="default" w:ascii="Times New Roman" w:hAnsi="Times New Roman" w:cs="Times New Roman"/>
          <w:color w:val="auto"/>
          <w:kern w:val="0"/>
          <w:sz w:val="32"/>
          <w:szCs w:val="32"/>
          <w:highlight w:val="none"/>
          <w:lang w:val="en-US" w:eastAsia="zh-CN" w:bidi="ar-SA"/>
        </w:rPr>
        <w:t>中标服务费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本项目无需向采购人提交中标服务费。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（三十）</w:t>
      </w:r>
      <w:r>
        <w:rPr>
          <w:rFonts w:hint="default" w:ascii="Times New Roman" w:hAnsi="Times New Roman" w:cs="Times New Roman"/>
          <w:color w:val="auto"/>
          <w:kern w:val="0"/>
          <w:sz w:val="32"/>
          <w:szCs w:val="32"/>
          <w:highlight w:val="none"/>
          <w:lang w:val="en-US" w:eastAsia="zh-CN" w:bidi="ar-SA"/>
        </w:rPr>
        <w:t>询价采购文件编制依据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本项目属于采购人自行组织采购项目，询价采购文件参照《中华人民共和国政府采购法》、《中华人民共和国政府采购法实施条例》、《政府采购非招标采购方式管理办法》（财政部令 第74号）及相关法律法规及结合采购人实际情况编制。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（三十一）</w:t>
      </w:r>
      <w:r>
        <w:rPr>
          <w:rFonts w:hint="default" w:ascii="Times New Roman" w:hAnsi="Times New Roman" w:cs="Times New Roman"/>
          <w:color w:val="auto"/>
          <w:kern w:val="0"/>
          <w:sz w:val="32"/>
          <w:szCs w:val="32"/>
          <w:highlight w:val="none"/>
          <w:lang w:val="en-US" w:eastAsia="zh-CN" w:bidi="ar-SA"/>
        </w:rPr>
        <w:t>商务要求及售后服务要求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详见第五章《采购需求》。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cs="Times New Roman"/>
          <w:color w:val="auto"/>
          <w:kern w:val="0"/>
          <w:sz w:val="32"/>
          <w:szCs w:val="32"/>
          <w:highlight w:val="none"/>
          <w:lang w:val="en-US" w:eastAsia="zh-CN" w:bidi="ar-SA"/>
        </w:rPr>
        <w:t>其它内容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cs="Times New Roman"/>
          <w:color w:val="auto"/>
          <w:kern w:val="0"/>
          <w:sz w:val="32"/>
          <w:szCs w:val="32"/>
          <w:highlight w:val="none"/>
          <w:lang w:val="en-US" w:eastAsia="zh-CN" w:bidi="ar-SA"/>
        </w:rPr>
        <w:t>需要补充的其它内容：详见</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供应商须知前附表</w:t>
      </w:r>
      <w:r>
        <w:rPr>
          <w:rFonts w:hint="eastAsia" w:ascii="Times New Roman" w:hAnsi="Times New Roman" w:cs="Times New Roman"/>
          <w:color w:val="auto"/>
          <w:kern w:val="0"/>
          <w:sz w:val="32"/>
          <w:szCs w:val="32"/>
          <w:highlight w:val="none"/>
          <w:lang w:val="en-US" w:eastAsia="zh-CN" w:bidi="ar-SA"/>
        </w:rPr>
        <w:t>”</w:t>
      </w:r>
      <w:r>
        <w:rPr>
          <w:rFonts w:hint="default" w:ascii="Times New Roman" w:hAnsi="Times New Roman"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lang w:val="en-US" w:eastAsia="zh-CN"/>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ascii="Times New Roman" w:hAnsi="Times New Roman" w:cs="Times New Roman"/>
          <w:color w:val="auto"/>
          <w:kern w:val="0"/>
          <w:sz w:val="32"/>
          <w:szCs w:val="32"/>
          <w:highlight w:val="none"/>
          <w:lang w:val="en-US" w:eastAsia="zh-CN" w:bidi="ar-SA"/>
        </w:rPr>
      </w:pPr>
    </w:p>
    <w:p>
      <w:pPr>
        <w:rPr>
          <w:rFonts w:hint="default" w:ascii="Times New Roman" w:hAnsi="Times New Roman" w:cs="Times New Roman"/>
          <w:color w:val="auto"/>
          <w:kern w:val="0"/>
          <w:sz w:val="32"/>
          <w:szCs w:val="32"/>
          <w:highlight w:val="none"/>
          <w:lang w:val="en-US" w:eastAsia="zh-CN" w:bidi="ar-SA"/>
        </w:rPr>
      </w:pPr>
    </w:p>
    <w:p>
      <w:pPr>
        <w:pStyle w:val="2"/>
        <w:rPr>
          <w:rFonts w:hint="default"/>
          <w:lang w:val="en-US" w:eastAsia="zh-CN"/>
        </w:rPr>
      </w:pPr>
    </w:p>
    <w:p>
      <w:pPr>
        <w:pStyle w:val="3"/>
        <w:numPr>
          <w:ilvl w:val="0"/>
          <w:numId w:val="1"/>
        </w:numPr>
        <w:bidi w:val="0"/>
        <w:rPr>
          <w:rFonts w:hint="default" w:ascii="Times New Roman" w:hAnsi="Times New Roman" w:cs="Times New Roman"/>
          <w:lang w:val="en-US" w:eastAsia="zh-CN"/>
        </w:rPr>
      </w:pPr>
      <w:bookmarkStart w:id="40" w:name="_Toc23459"/>
      <w:r>
        <w:rPr>
          <w:rFonts w:hint="default" w:ascii="Times New Roman" w:hAnsi="Times New Roman" w:cs="Times New Roman"/>
          <w:lang w:val="en-US" w:eastAsia="zh-CN"/>
        </w:rPr>
        <w:t>合 同 书 样 式 及 主 要 条 款</w:t>
      </w:r>
      <w:bookmarkEnd w:id="40"/>
    </w:p>
    <w:p>
      <w:pPr>
        <w:rPr>
          <w:rFonts w:hint="default"/>
          <w:lang w:val="en-US" w:eastAsia="zh-CN"/>
        </w:rPr>
      </w:pPr>
    </w:p>
    <w:tbl>
      <w:tblPr>
        <w:tblStyle w:val="17"/>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6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6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6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对公转账付款，采购人收到货品并验收合格入库后三个月内</w:t>
            </w:r>
            <w:r>
              <w:rPr>
                <w:rFonts w:hint="eastAsia" w:ascii="Times New Roman" w:hAnsi="Times New Roman"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中标方开具的正式发票付款。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6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所提供试剂耗材有效期不得少于总有效期的2/3，投标人提供的试剂应是最新生产且检验合格的产品，且如果采购人购买的试剂需要调换且在质保期内的，应无条件免费予以更换。</w:t>
            </w:r>
          </w:p>
        </w:tc>
      </w:tr>
    </w:tbl>
    <w:p>
      <w:pPr>
        <w:bidi w:val="0"/>
        <w:rPr>
          <w:rFonts w:hint="default"/>
          <w:lang w:val="en-US" w:eastAsia="zh-CN"/>
        </w:rPr>
      </w:pPr>
      <w:r>
        <w:rPr>
          <w:rFonts w:hint="default"/>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rPr>
      </w:pPr>
    </w:p>
    <w:p>
      <w:pPr>
        <w:bidi w:val="0"/>
        <w:rPr>
          <w:rFonts w:hint="default" w:ascii="Times New Roman" w:hAnsi="Times New Roman" w:cs="Times New Roman"/>
        </w:rPr>
      </w:pPr>
      <w:bookmarkStart w:id="41" w:name="_Toc24217_WPSOffice_Level2"/>
      <w:bookmarkStart w:id="42" w:name="_Toc11014_WPSOffice_Level2"/>
      <w:bookmarkStart w:id="43" w:name="_Toc18116_WPSOffice_Level2"/>
      <w:bookmarkStart w:id="44" w:name="_Toc13111_WPSOffice_Level2"/>
      <w:bookmarkStart w:id="45" w:name="_Toc389_WPSOffice_Level2"/>
      <w:r>
        <w:rPr>
          <w:rFonts w:hint="default" w:ascii="Times New Roman" w:hAnsi="Times New Roman" w:cs="Times New Roman"/>
        </w:rPr>
        <w:t xml:space="preserve">合同编号：           </w:t>
      </w:r>
    </w:p>
    <w:p>
      <w:pPr>
        <w:bidi w:val="0"/>
        <w:rPr>
          <w:rFonts w:hint="default" w:ascii="Times New Roman" w:hAnsi="Times New Roman" w:cs="Times New Roman"/>
          <w:lang w:val="en-US" w:eastAsia="zh-CN"/>
        </w:rPr>
      </w:pPr>
      <w:r>
        <w:rPr>
          <w:rFonts w:hint="default" w:ascii="Times New Roman" w:hAnsi="Times New Roman" w:cs="Times New Roman"/>
          <w:lang w:eastAsia="zh-CN"/>
        </w:rPr>
        <w:t>项目编号</w:t>
      </w:r>
      <w:r>
        <w:rPr>
          <w:rFonts w:hint="default" w:ascii="Times New Roman" w:hAnsi="Times New Roman" w:cs="Times New Roman"/>
        </w:rPr>
        <w:t>：</w:t>
      </w:r>
      <w:bookmarkEnd w:id="41"/>
      <w:bookmarkEnd w:id="42"/>
      <w:bookmarkEnd w:id="43"/>
      <w:bookmarkEnd w:id="44"/>
      <w:bookmarkEnd w:id="45"/>
      <w:r>
        <w:rPr>
          <w:rFonts w:hint="eastAsia" w:ascii="Times New Roman" w:hAnsi="Times New Roman" w:cs="Times New Roman"/>
          <w:lang w:val="en-US" w:eastAsia="zh-CN"/>
        </w:rPr>
        <w:t>DLZEYSBK-2025-01</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bidi w:val="0"/>
        <w:jc w:val="center"/>
        <w:rPr>
          <w:rFonts w:hint="eastAsia" w:ascii="方正小标宋_GBK" w:hAnsi="方正小标宋_GBK" w:eastAsia="方正小标宋_GBK" w:cs="方正小标宋_GBK"/>
          <w:b/>
          <w:bCs/>
          <w:sz w:val="48"/>
          <w:szCs w:val="40"/>
          <w:lang w:val="en-US" w:eastAsia="zh-CN"/>
        </w:rPr>
      </w:pPr>
      <w:bookmarkStart w:id="46" w:name="_Toc12052_WPSOffice_Level2"/>
      <w:bookmarkStart w:id="47" w:name="_Toc13787_WPSOffice_Level2"/>
      <w:bookmarkStart w:id="48" w:name="_Toc4755_WPSOffice_Level2"/>
      <w:bookmarkStart w:id="49" w:name="_Toc26300_WPSOffice_Level2"/>
      <w:bookmarkStart w:id="50" w:name="_Toc14254_WPSOffice_Level2"/>
      <w:bookmarkStart w:id="51" w:name="_Toc11568_WPSOffice_Level2"/>
      <w:bookmarkStart w:id="52" w:name="_Toc16706_WPSOffice_Level2"/>
      <w:bookmarkStart w:id="53" w:name="_Toc23317_WPSOffice_Level2"/>
      <w:bookmarkStart w:id="54" w:name="_Toc30638_WPSOffice_Level2"/>
      <w:bookmarkStart w:id="55" w:name="_Toc2267_WPSOffice_Level2"/>
      <w:bookmarkStart w:id="56" w:name="_Toc8627_WPSOffice_Level2"/>
      <w:bookmarkStart w:id="57" w:name="_Toc21783_WPSOffice_Level2"/>
      <w:r>
        <w:rPr>
          <w:rFonts w:hint="eastAsia" w:ascii="方正小标宋_GBK" w:hAnsi="方正小标宋_GBK" w:eastAsia="方正小标宋_GBK" w:cs="方正小标宋_GBK"/>
          <w:b/>
          <w:bCs/>
          <w:sz w:val="48"/>
          <w:szCs w:val="40"/>
          <w:lang w:val="en-US" w:eastAsia="zh-CN"/>
        </w:rPr>
        <w:t>自行采购</w:t>
      </w:r>
      <w:bookmarkEnd w:id="46"/>
      <w:bookmarkEnd w:id="47"/>
      <w:bookmarkEnd w:id="48"/>
      <w:bookmarkEnd w:id="49"/>
      <w:bookmarkEnd w:id="50"/>
      <w:bookmarkEnd w:id="51"/>
      <w:bookmarkEnd w:id="52"/>
      <w:bookmarkEnd w:id="53"/>
      <w:bookmarkEnd w:id="54"/>
      <w:bookmarkEnd w:id="55"/>
      <w:bookmarkEnd w:id="56"/>
      <w:bookmarkEnd w:id="57"/>
    </w:p>
    <w:p>
      <w:pPr>
        <w:bidi w:val="0"/>
        <w:jc w:val="center"/>
        <w:rPr>
          <w:rFonts w:hint="eastAsia" w:ascii="方正小标宋_GBK" w:hAnsi="方正小标宋_GBK" w:eastAsia="方正小标宋_GBK" w:cs="方正小标宋_GBK"/>
          <w:b/>
          <w:bCs/>
          <w:sz w:val="48"/>
          <w:szCs w:val="40"/>
          <w:lang w:val="en-US" w:eastAsia="zh-CN"/>
        </w:rPr>
      </w:pPr>
      <w:bookmarkStart w:id="58" w:name="_Toc13139_WPSOffice_Level2"/>
      <w:bookmarkStart w:id="59" w:name="_Toc20579_WPSOffice_Level2"/>
      <w:bookmarkStart w:id="60" w:name="_Toc18280_WPSOffice_Level2"/>
      <w:bookmarkStart w:id="61" w:name="_Toc25306_WPSOffice_Level2"/>
      <w:bookmarkStart w:id="62" w:name="_Toc13089_WPSOffice_Level2"/>
      <w:bookmarkStart w:id="63" w:name="_Toc4095_WPSOffice_Level2"/>
      <w:bookmarkStart w:id="64" w:name="_Toc31025_WPSOffice_Level2"/>
      <w:bookmarkStart w:id="65" w:name="_Toc1751_WPSOffice_Level2"/>
      <w:bookmarkStart w:id="66" w:name="_Toc27313_WPSOffice_Level2"/>
      <w:bookmarkStart w:id="67" w:name="_Toc27543_WPSOffice_Level2"/>
      <w:bookmarkStart w:id="68" w:name="_Toc11448_WPSOffice_Level2"/>
      <w:bookmarkStart w:id="69" w:name="_Toc8606_WPSOffice_Level2"/>
      <w:r>
        <w:rPr>
          <w:rFonts w:hint="eastAsia" w:ascii="方正小标宋_GBK" w:hAnsi="方正小标宋_GBK" w:eastAsia="方正小标宋_GBK" w:cs="方正小标宋_GBK"/>
          <w:b/>
          <w:bCs/>
          <w:sz w:val="48"/>
          <w:szCs w:val="40"/>
          <w:lang w:val="en-US" w:eastAsia="zh-CN"/>
        </w:rPr>
        <w:t>（货物类）</w:t>
      </w:r>
      <w:bookmarkEnd w:id="58"/>
      <w:bookmarkEnd w:id="59"/>
      <w:bookmarkEnd w:id="60"/>
      <w:bookmarkEnd w:id="61"/>
      <w:bookmarkEnd w:id="62"/>
      <w:bookmarkEnd w:id="63"/>
      <w:bookmarkEnd w:id="64"/>
      <w:bookmarkEnd w:id="65"/>
      <w:bookmarkEnd w:id="66"/>
      <w:bookmarkEnd w:id="67"/>
      <w:bookmarkEnd w:id="68"/>
      <w:bookmarkEnd w:id="69"/>
    </w:p>
    <w:p>
      <w:pPr>
        <w:bidi w:val="0"/>
        <w:jc w:val="center"/>
        <w:rPr>
          <w:rFonts w:hint="eastAsia" w:ascii="方正小标宋_GBK" w:hAnsi="方正小标宋_GBK" w:eastAsia="方正小标宋_GBK" w:cs="方正小标宋_GBK"/>
          <w:b/>
          <w:bCs/>
          <w:sz w:val="48"/>
          <w:szCs w:val="40"/>
        </w:rPr>
      </w:pPr>
    </w:p>
    <w:p>
      <w:pPr>
        <w:bidi w:val="0"/>
        <w:jc w:val="center"/>
        <w:rPr>
          <w:rFonts w:hint="eastAsia" w:ascii="方正小标宋_GBK" w:hAnsi="方正小标宋_GBK" w:eastAsia="方正小标宋_GBK" w:cs="方正小标宋_GBK"/>
          <w:b/>
          <w:bCs/>
          <w:sz w:val="48"/>
          <w:szCs w:val="40"/>
          <w:lang w:val="en-US" w:eastAsia="zh-CN"/>
        </w:rPr>
      </w:pPr>
      <w:bookmarkStart w:id="70" w:name="_Toc232_WPSOffice_Level2"/>
      <w:bookmarkStart w:id="71" w:name="_Toc4532_WPSOffice_Level2"/>
      <w:bookmarkStart w:id="72" w:name="_Toc25510_WPSOffice_Level2"/>
      <w:bookmarkStart w:id="73" w:name="_Toc10219_WPSOffice_Level2"/>
      <w:bookmarkStart w:id="74" w:name="_Toc27097_WPSOffice_Level2"/>
      <w:bookmarkStart w:id="75" w:name="_Toc9887_WPSOffice_Level2"/>
      <w:bookmarkStart w:id="76" w:name="_Toc16232_WPSOffice_Level2"/>
      <w:bookmarkStart w:id="77" w:name="_Toc11406_WPSOffice_Level2"/>
      <w:bookmarkStart w:id="78" w:name="_Toc31927_WPSOffice_Level2"/>
      <w:bookmarkStart w:id="79" w:name="_Toc14122_WPSOffice_Level2"/>
      <w:bookmarkStart w:id="80" w:name="_Toc31734_WPSOffice_Level2"/>
      <w:bookmarkStart w:id="81" w:name="_Toc24726_WPSOffice_Level2"/>
      <w:r>
        <w:rPr>
          <w:rFonts w:hint="eastAsia" w:ascii="方正小标宋_GBK" w:hAnsi="方正小标宋_GBK" w:eastAsia="方正小标宋_GBK" w:cs="方正小标宋_GBK"/>
          <w:b/>
          <w:bCs/>
          <w:sz w:val="48"/>
          <w:szCs w:val="40"/>
          <w:lang w:val="en-US" w:eastAsia="zh-CN"/>
        </w:rPr>
        <w:t>合</w:t>
      </w:r>
      <w:bookmarkEnd w:id="70"/>
      <w:bookmarkEnd w:id="71"/>
      <w:bookmarkEnd w:id="72"/>
      <w:bookmarkEnd w:id="73"/>
      <w:bookmarkEnd w:id="74"/>
      <w:bookmarkEnd w:id="75"/>
      <w:bookmarkEnd w:id="76"/>
      <w:bookmarkEnd w:id="77"/>
      <w:bookmarkEnd w:id="78"/>
      <w:bookmarkEnd w:id="79"/>
      <w:bookmarkEnd w:id="80"/>
      <w:bookmarkEnd w:id="81"/>
    </w:p>
    <w:p>
      <w:pPr>
        <w:bidi w:val="0"/>
        <w:jc w:val="center"/>
        <w:rPr>
          <w:rFonts w:hint="eastAsia" w:ascii="方正小标宋_GBK" w:hAnsi="方正小标宋_GBK" w:eastAsia="方正小标宋_GBK" w:cs="方正小标宋_GBK"/>
          <w:b/>
          <w:bCs/>
          <w:sz w:val="48"/>
          <w:szCs w:val="40"/>
          <w:lang w:val="en-US" w:eastAsia="zh-CN"/>
        </w:rPr>
      </w:pPr>
    </w:p>
    <w:p>
      <w:pPr>
        <w:bidi w:val="0"/>
        <w:jc w:val="center"/>
        <w:rPr>
          <w:rFonts w:hint="eastAsia" w:ascii="方正小标宋_GBK" w:hAnsi="方正小标宋_GBK" w:eastAsia="方正小标宋_GBK" w:cs="方正小标宋_GBK"/>
          <w:b/>
          <w:bCs/>
          <w:sz w:val="48"/>
          <w:szCs w:val="40"/>
          <w:lang w:val="en-US" w:eastAsia="zh-CN"/>
        </w:rPr>
      </w:pPr>
      <w:bookmarkStart w:id="82" w:name="_Toc25929_WPSOffice_Level2"/>
      <w:bookmarkStart w:id="83" w:name="_Toc20891_WPSOffice_Level2"/>
      <w:bookmarkStart w:id="84" w:name="_Toc28100_WPSOffice_Level2"/>
      <w:bookmarkStart w:id="85" w:name="_Toc20618_WPSOffice_Level2"/>
      <w:bookmarkStart w:id="86" w:name="_Toc24169_WPSOffice_Level2"/>
      <w:bookmarkStart w:id="87" w:name="_Toc16278_WPSOffice_Level2"/>
      <w:bookmarkStart w:id="88" w:name="_Toc21720_WPSOffice_Level2"/>
      <w:bookmarkStart w:id="89" w:name="_Toc6870_WPSOffice_Level2"/>
      <w:bookmarkStart w:id="90" w:name="_Toc20164_WPSOffice_Level2"/>
      <w:bookmarkStart w:id="91" w:name="_Toc10209_WPSOffice_Level2"/>
      <w:bookmarkStart w:id="92" w:name="_Toc2169_WPSOffice_Level2"/>
      <w:bookmarkStart w:id="93" w:name="_Toc21602_WPSOffice_Level2"/>
      <w:r>
        <w:rPr>
          <w:rFonts w:hint="eastAsia" w:ascii="方正小标宋_GBK" w:hAnsi="方正小标宋_GBK" w:eastAsia="方正小标宋_GBK" w:cs="方正小标宋_GBK"/>
          <w:b/>
          <w:bCs/>
          <w:sz w:val="48"/>
          <w:szCs w:val="40"/>
          <w:lang w:val="en-US" w:eastAsia="zh-CN"/>
        </w:rPr>
        <w:t>同</w:t>
      </w:r>
      <w:bookmarkEnd w:id="82"/>
      <w:bookmarkEnd w:id="83"/>
      <w:bookmarkEnd w:id="84"/>
      <w:bookmarkEnd w:id="85"/>
      <w:bookmarkEnd w:id="86"/>
      <w:bookmarkEnd w:id="87"/>
      <w:bookmarkEnd w:id="88"/>
      <w:bookmarkEnd w:id="89"/>
      <w:bookmarkEnd w:id="90"/>
      <w:bookmarkEnd w:id="91"/>
      <w:bookmarkEnd w:id="92"/>
      <w:bookmarkEnd w:id="93"/>
    </w:p>
    <w:p>
      <w:pPr>
        <w:bidi w:val="0"/>
        <w:jc w:val="center"/>
        <w:rPr>
          <w:rFonts w:hint="eastAsia" w:ascii="方正小标宋_GBK" w:hAnsi="方正小标宋_GBK" w:eastAsia="方正小标宋_GBK" w:cs="方正小标宋_GBK"/>
          <w:b/>
          <w:bCs/>
          <w:sz w:val="48"/>
          <w:szCs w:val="40"/>
          <w:lang w:val="en-US" w:eastAsia="zh-CN"/>
        </w:rPr>
      </w:pPr>
    </w:p>
    <w:p>
      <w:pPr>
        <w:bidi w:val="0"/>
        <w:jc w:val="center"/>
        <w:rPr>
          <w:rFonts w:hint="eastAsia" w:ascii="方正小标宋_GBK" w:hAnsi="方正小标宋_GBK" w:eastAsia="方正小标宋_GBK" w:cs="方正小标宋_GBK"/>
          <w:b/>
          <w:bCs/>
          <w:sz w:val="48"/>
          <w:szCs w:val="40"/>
          <w:lang w:val="en-US" w:eastAsia="zh-CN"/>
        </w:rPr>
      </w:pPr>
      <w:bookmarkStart w:id="94" w:name="_Toc13809_WPSOffice_Level2"/>
      <w:bookmarkStart w:id="95" w:name="_Toc1813_WPSOffice_Level2"/>
      <w:bookmarkStart w:id="96" w:name="_Toc27279_WPSOffice_Level2"/>
      <w:bookmarkStart w:id="97" w:name="_Toc29225_WPSOffice_Level2"/>
      <w:bookmarkStart w:id="98" w:name="_Toc24084_WPSOffice_Level2"/>
      <w:bookmarkStart w:id="99" w:name="_Toc10541_WPSOffice_Level2"/>
      <w:bookmarkStart w:id="100" w:name="_Toc12553_WPSOffice_Level2"/>
      <w:bookmarkStart w:id="101" w:name="_Toc11444_WPSOffice_Level2"/>
      <w:bookmarkStart w:id="102" w:name="_Toc24008_WPSOffice_Level2"/>
      <w:bookmarkStart w:id="103" w:name="_Toc4566_WPSOffice_Level2"/>
      <w:bookmarkStart w:id="104" w:name="_Toc21534_WPSOffice_Level2"/>
      <w:r>
        <w:rPr>
          <w:rFonts w:hint="eastAsia" w:ascii="方正小标宋_GBK" w:hAnsi="方正小标宋_GBK" w:eastAsia="方正小标宋_GBK" w:cs="方正小标宋_GBK"/>
          <w:b/>
          <w:bCs/>
          <w:sz w:val="48"/>
          <w:szCs w:val="40"/>
          <w:lang w:val="en-US" w:eastAsia="zh-CN"/>
        </w:rPr>
        <w:t>书</w:t>
      </w:r>
      <w:bookmarkEnd w:id="94"/>
      <w:bookmarkEnd w:id="95"/>
      <w:bookmarkEnd w:id="96"/>
      <w:bookmarkEnd w:id="97"/>
      <w:bookmarkEnd w:id="98"/>
      <w:bookmarkEnd w:id="99"/>
      <w:bookmarkEnd w:id="100"/>
      <w:bookmarkEnd w:id="101"/>
      <w:bookmarkEnd w:id="102"/>
      <w:bookmarkEnd w:id="103"/>
      <w:bookmarkEnd w:id="104"/>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rPr>
      </w:pPr>
      <w:bookmarkStart w:id="105" w:name="_Toc26794_WPSOffice_Level2"/>
      <w:bookmarkStart w:id="106" w:name="_Toc11111_WPSOffice_Level2"/>
      <w:bookmarkStart w:id="107" w:name="_Toc15017_WPSOffice_Level2"/>
      <w:r>
        <w:rPr>
          <w:rFonts w:hint="default"/>
          <w:lang w:val="en-US" w:eastAsia="zh-CN"/>
        </w:rPr>
        <w:t>大理州第二人民医院</w:t>
      </w:r>
      <w:r>
        <w:rPr>
          <w:rFonts w:hint="default"/>
        </w:rPr>
        <w:t xml:space="preserve">  制</w:t>
      </w:r>
      <w:bookmarkEnd w:id="105"/>
      <w:bookmarkEnd w:id="106"/>
      <w:bookmarkEnd w:id="107"/>
    </w:p>
    <w:p>
      <w:pPr>
        <w:bidi w:val="0"/>
        <w:rPr>
          <w:rFonts w:hint="default" w:ascii="Times New Roman" w:hAnsi="Times New Roman" w:cs="Times New Roman"/>
        </w:rPr>
      </w:pPr>
    </w:p>
    <w:p>
      <w:pPr>
        <w:pStyle w:val="2"/>
        <w:rPr>
          <w:rFonts w:hint="default" w:ascii="Times New Roman" w:hAnsi="Times New Roman" w:cs="Times New Roman"/>
        </w:rPr>
      </w:pPr>
    </w:p>
    <w:p>
      <w:pPr>
        <w:bidi w:val="0"/>
        <w:rPr>
          <w:rFonts w:hint="default" w:ascii="Times New Roman" w:hAnsi="Times New Roman" w:eastAsia="方正仿宋_GBK" w:cs="Times New Roman"/>
          <w:sz w:val="32"/>
          <w:szCs w:val="32"/>
        </w:rPr>
      </w:pPr>
    </w:p>
    <w:p>
      <w:pPr>
        <w:bidi w:val="0"/>
        <w:rPr>
          <w:rFonts w:hint="default" w:ascii="Times New Roman" w:hAnsi="Times New Roman" w:eastAsia="方正仿宋_GBK" w:cs="Times New Roman"/>
          <w:sz w:val="32"/>
          <w:szCs w:val="32"/>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b w:val="0"/>
          <w:color w:val="auto"/>
          <w:sz w:val="28"/>
          <w:szCs w:val="28"/>
          <w:lang w:val="en-US" w:eastAsia="zh-CN" w:bidi="ar-SA"/>
        </w:rPr>
      </w:pPr>
    </w:p>
    <w:p>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b w:val="0"/>
          <w:color w:val="auto"/>
          <w:sz w:val="28"/>
          <w:szCs w:val="28"/>
          <w:lang w:val="en-US" w:eastAsia="zh-CN" w:bidi="ar-SA"/>
        </w:rPr>
      </w:pPr>
    </w:p>
    <w:p>
      <w:pPr>
        <w:pStyle w:val="32"/>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根据《中华人民共和国民法典》及其他有关法律、法规规定，甲、乙双方本着平等、自愿、公平、互惠互利和诚实守信的原则，就甲方检验试剂耗材采购的有关事宜协商一致签署本合同，以便共同遵守。</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一、试剂耗材品种及其价格</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甲方采购的试剂耗材产品名称、生产厂家、规格型号、供货单价等如下：</w:t>
      </w:r>
    </w:p>
    <w:tbl>
      <w:tblPr>
        <w:tblStyle w:val="16"/>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90"/>
        <w:gridCol w:w="1284"/>
        <w:gridCol w:w="1499"/>
        <w:gridCol w:w="85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1"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890"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产品名称</w:t>
            </w:r>
          </w:p>
        </w:tc>
        <w:tc>
          <w:tcPr>
            <w:tcW w:w="1284"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生产厂家</w:t>
            </w:r>
          </w:p>
        </w:tc>
        <w:tc>
          <w:tcPr>
            <w:tcW w:w="1499"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规格型号</w:t>
            </w:r>
          </w:p>
        </w:tc>
        <w:tc>
          <w:tcPr>
            <w:tcW w:w="85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单位</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eastAsia="zh-CN"/>
              </w:rPr>
              <w:t>供货单价</w:t>
            </w:r>
            <w:r>
              <w:rPr>
                <w:rFonts w:hint="default" w:ascii="Times New Roman" w:hAnsi="Times New Roman" w:eastAsia="宋体" w:cs="Times New Roman"/>
                <w:b/>
                <w:color w:val="auto"/>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w:t>
            </w:r>
          </w:p>
        </w:tc>
        <w:tc>
          <w:tcPr>
            <w:tcW w:w="189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w:t>
            </w:r>
          </w:p>
        </w:tc>
        <w:tc>
          <w:tcPr>
            <w:tcW w:w="189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3</w:t>
            </w:r>
          </w:p>
        </w:tc>
        <w:tc>
          <w:tcPr>
            <w:tcW w:w="189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w:t>
            </w:r>
          </w:p>
        </w:tc>
        <w:tc>
          <w:tcPr>
            <w:tcW w:w="189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bl>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二、试剂耗材的订货方式、配送要求</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为了确保供货的及时性或开单的准确性，甲方以邮件、QQ、微信、短信、传真、电话等任意一种方式给乙方下订单，订单需包含试剂耗材品名、规格、单位、数量、价格、厂家，便于乙方准确开单出货，特殊要求须在订单上写好备注。</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三）乙方在收到甲方订单后应及时响应，除因交通中断等不可抗力特殊情况外，接到订单后，中标方正常情况下48小时内送达采购人指定地点，特殊情况不得超过72小时，加急情况下需24小时内送达，特殊情况下节假日照常配送，特殊情况下节假日照常配送。若因乙方原因造成未及时配送，影响科室开展业务，乙方应承担因此给甲方造成的损失，且甲方有权终止合同。乙方配送时需将货品、随货单（出库单）、发票一起交付甲方。</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配送地点：大理州第二人民医院指定地点。</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三、试剂耗材的质量保证</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乙方所配送试剂耗材必须为原厂商未启封全新包装，具有出厂合格证，且不属于长期积压的库存商品，完全符合国家标准或其原厂最新颁布的相应的正式标准，且乙方供应的试剂有效期为总有效期的2/3以上。</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（二）乙方须保证甲方在使用该试剂耗材或其任何一</w:t>
      </w:r>
      <w:r>
        <w:rPr>
          <w:rFonts w:hint="eastAsia" w:ascii="方正仿宋_GBK" w:hAnsi="方正仿宋_GBK" w:eastAsia="方正仿宋_GBK" w:cs="方正仿宋_GBK"/>
          <w:b w:val="0"/>
          <w:color w:val="auto"/>
          <w:sz w:val="32"/>
          <w:szCs w:val="32"/>
          <w:lang w:val="en-US" w:eastAsia="zh-CN" w:bidi="ar-SA"/>
        </w:rPr>
        <w:t>部份时，不受到第三方关于侵犯设计技术资料、专利、商标等一切方面的指控。如任何第三方提出侵犯指控，乙方须与第三方交涉并承担可能发生的一切索赔和责任，如甲方因此而遭受损失，乙方应赔偿该损失。</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（三）因产品存在质量缺陷，该产品生产企业执行产品召回的，甲、乙双方有义务配合生产企业对产品进行召回。</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（四）因质量原因而产生的经济和法律责任均由乙方承担。</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四、甲方的义务和权利</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（一）甲方正在使用的清单内试剂、耗材（详细品牌、型号、规格、价格清单附后）按照不高于合同约定价格向乙方采购。 若后期因国家政策变动，试剂耗材价格变动，则按照国家政策要求进行价格调整后采购。</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（二）甲方收到乙方配送的试剂耗材后按照实际数量及随货单（出库单）验收入库，且收到乙方开具的正式发票后在三个月内付款。</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三）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（四）在遇到国家或上级有关部门进行政策性调整，甲方得知调整政策后，通知乙方，双方根据政策执行，若致使本合同不能进行，甲方可在3个月内单方终止本合同，乙方应予以谅解、支持。</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五、乙方的义务和权利</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（一）乙方负责甲方所使用试剂耗材以及相关检验设备的产品技术支持。</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（二）乙方不得随意变更甲方所使用的试剂耗材的品牌、型号、价格，但甲方提出试剂耗材与设备不匹配，需更换品牌型号时，乙方需按照甲方要求进行更换，且更换同型号产品供货单价不变。</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三）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（四）乙方需提供所供货试剂耗材的生产厂家营业执照、备案凭证及乙方营业执照、</w:t>
      </w:r>
      <w:r>
        <w:rPr>
          <w:rFonts w:hint="eastAsia" w:ascii="方正仿宋_GBK" w:hAnsi="方正仿宋_GBK" w:eastAsia="方正仿宋_GBK" w:cs="方正仿宋_GBK"/>
          <w:b w:val="0"/>
          <w:color w:val="auto"/>
          <w:sz w:val="32"/>
          <w:szCs w:val="32"/>
          <w:lang w:val="en-US" w:eastAsia="zh-CN" w:bidi="ar-SA"/>
        </w:rPr>
        <w:t>危化品经营许可证等相关资质，交货时乙方应当提供同批号试剂耗材的检验报告等材料</w:t>
      </w:r>
      <w:r>
        <w:rPr>
          <w:rFonts w:hint="eastAsia" w:ascii="方正仿宋_GBK" w:hAnsi="方正仿宋_GBK" w:eastAsia="方正仿宋_GBK" w:cs="方正仿宋_GBK"/>
          <w:b w:val="0"/>
          <w:color w:val="auto"/>
          <w:sz w:val="32"/>
          <w:szCs w:val="32"/>
          <w:lang w:val="en-US" w:eastAsia="zh-CN" w:bidi="ar-SA"/>
        </w:rPr>
        <w:t>，随货单必须包含名称、规格、数量、单价、批号、生产日期、失效日期等。</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（五）乙方全权负责试剂耗材的质量问题，有义务向甲方提供所需的产品资质文件。</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（六）遇上级部门对甲方</w:t>
      </w:r>
      <w:r>
        <w:rPr>
          <w:rFonts w:hint="eastAsia" w:ascii="方正仿宋_GBK" w:hAnsi="方正仿宋_GBK" w:eastAsia="方正仿宋_GBK" w:cs="方正仿宋_GBK"/>
          <w:b w:val="0"/>
          <w:color w:val="auto"/>
          <w:sz w:val="32"/>
          <w:szCs w:val="32"/>
          <w:lang w:val="en-US" w:eastAsia="zh-CN" w:bidi="ar-SA"/>
        </w:rPr>
        <w:t>部份试剂耗材抽查检定不合格的样品由乙方负责免费更换同批次所有试剂耗材，因产品质量问题造成的一切损失由乙方负责。</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（七）有特殊储运要求的试剂耗材乙方需按照要求进行配送，并提供整个配送过程中的相应记录。</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（八）乙方配送试剂耗材时需将货品、随货单（出库单）、发票同时交付甲方，若无法开具发票时需出具情况说明给甲方，并于次月月初开具发票给甲方。</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六、验收标准</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七、售后服务责任</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（一）在使用期间乙方须免费提供检验技术指导等售后服务，试剂耗材使用过程中发生非正常现象，乙方须积极联系解决。</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（二）试剂耗材因运输或厂家质量管理漏洞出现产品质量问题造成失效时，乙方需在7天内更换相关问题产品。</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八、付款方式和时间</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对公转账付款，甲方收到乙方配送的试剂耗材后按照实际数量及随货单（出库单）验收入库</w:t>
      </w:r>
      <w:r>
        <w:rPr>
          <w:rFonts w:hint="eastAsia" w:ascii="方正仿宋_GBK" w:hAnsi="方正仿宋_GBK" w:eastAsia="方正仿宋_GBK" w:cs="方正仿宋_GBK"/>
          <w:b w:val="0"/>
          <w:color w:val="auto"/>
          <w:sz w:val="32"/>
          <w:szCs w:val="32"/>
          <w:lang w:val="en-US" w:eastAsia="zh-CN" w:bidi="ar-SA"/>
        </w:rPr>
        <w:t>后三个月内</w:t>
      </w:r>
      <w:r>
        <w:rPr>
          <w:rFonts w:hint="eastAsia" w:ascii="方正仿宋_GBK" w:hAnsi="方正仿宋_GBK" w:eastAsia="方正仿宋_GBK" w:cs="方正仿宋_GBK"/>
          <w:b w:val="0"/>
          <w:color w:val="auto"/>
          <w:sz w:val="32"/>
          <w:szCs w:val="32"/>
          <w:lang w:val="en-US" w:eastAsia="zh-CN" w:bidi="ar-SA"/>
        </w:rPr>
        <w:t>依据乙方开具的正式发票付款。</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九、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十一、本合同生效后，如有一方违约，守约方为维护权益，向违约方追偿的一切费用，包括但不限于律师费、诉讼费、保全费、鉴定费、差旅费等由违约方承担。</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十二、本合同一式</w:t>
      </w:r>
      <w:r>
        <w:rPr>
          <w:rFonts w:hint="eastAsia" w:ascii="方正仿宋_GBK" w:hAnsi="方正仿宋_GBK" w:eastAsia="方正仿宋_GBK" w:cs="方正仿宋_GBK"/>
          <w:b w:val="0"/>
          <w:color w:val="auto"/>
          <w:sz w:val="32"/>
          <w:szCs w:val="32"/>
          <w:lang w:val="en-US" w:eastAsia="zh-CN" w:bidi="ar-SA"/>
        </w:rPr>
        <w:t>六份，甲方</w:t>
      </w:r>
      <w:r>
        <w:rPr>
          <w:rFonts w:hint="eastAsia" w:ascii="方正仿宋_GBK" w:hAnsi="方正仿宋_GBK" w:eastAsia="方正仿宋_GBK" w:cs="方正仿宋_GBK"/>
          <w:b w:val="0"/>
          <w:color w:val="auto"/>
          <w:sz w:val="32"/>
          <w:szCs w:val="32"/>
          <w:lang w:val="en-US" w:eastAsia="zh-CN" w:bidi="ar-SA"/>
        </w:rPr>
        <w:t>五份，乙方一份，具有同等的法律效力。</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十三、服务期限两年，合同一年一签（遇特殊政策除外），本合同为第一年供货合同，自  </w:t>
      </w:r>
      <w:r>
        <w:rPr>
          <w:rFonts w:hint="eastAsia" w:ascii="方正仿宋_GBK" w:hAnsi="方正仿宋_GBK" w:eastAsia="方正仿宋_GBK" w:cs="方正仿宋_GBK"/>
          <w:b w:val="0"/>
          <w:color w:val="auto"/>
          <w:sz w:val="32"/>
          <w:szCs w:val="32"/>
          <w:lang w:val="en-US" w:eastAsia="zh-CN" w:bidi="ar-SA"/>
        </w:rPr>
        <w:t xml:space="preserve">  年 </w:t>
      </w:r>
      <w:r>
        <w:rPr>
          <w:rFonts w:hint="eastAsia" w:ascii="方正仿宋_GBK" w:hAnsi="方正仿宋_GBK" w:eastAsia="方正仿宋_GBK" w:cs="方正仿宋_GBK"/>
          <w:b w:val="0"/>
          <w:color w:val="auto"/>
          <w:sz w:val="32"/>
          <w:szCs w:val="32"/>
          <w:lang w:val="en-US" w:eastAsia="zh-CN" w:bidi="ar-SA"/>
        </w:rPr>
        <w:t xml:space="preserve"> 月</w:t>
      </w:r>
      <w:r>
        <w:rPr>
          <w:rFonts w:hint="eastAsia" w:ascii="方正仿宋_GBK" w:hAnsi="方正仿宋_GBK" w:eastAsia="方正仿宋_GBK" w:cs="方正仿宋_GBK"/>
          <w:b w:val="0"/>
          <w:color w:val="auto"/>
          <w:sz w:val="32"/>
          <w:szCs w:val="32"/>
          <w:lang w:val="en-US" w:eastAsia="zh-CN" w:bidi="ar-SA"/>
        </w:rPr>
        <w:t xml:space="preserve">  日至  年</w:t>
      </w:r>
      <w:r>
        <w:rPr>
          <w:rFonts w:hint="eastAsia" w:ascii="方正仿宋_GBK" w:hAnsi="方正仿宋_GBK" w:eastAsia="方正仿宋_GBK" w:cs="方正仿宋_GBK"/>
          <w:b w:val="0"/>
          <w:color w:val="auto"/>
          <w:sz w:val="32"/>
          <w:szCs w:val="32"/>
          <w:lang w:val="en-US" w:eastAsia="zh-CN" w:bidi="ar-SA"/>
        </w:rPr>
        <w:t xml:space="preserve">   月</w:t>
      </w:r>
      <w:r>
        <w:rPr>
          <w:rFonts w:hint="eastAsia" w:ascii="方正仿宋_GBK" w:hAnsi="方正仿宋_GBK" w:eastAsia="方正仿宋_GBK" w:cs="方正仿宋_GBK"/>
          <w:b w:val="0"/>
          <w:color w:val="auto"/>
          <w:sz w:val="32"/>
          <w:szCs w:val="32"/>
          <w:lang w:val="en-US" w:eastAsia="zh-CN" w:bidi="ar-SA"/>
        </w:rPr>
        <w:t xml:space="preserve"> 日。本合同自签字盖章之日生效。</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十四、甲乙双方须严格执行国家和云南省廉政建设有关条款，并签订医药产品廉洁购销合同。一方如有违反，另一方有权制止，直至向纪检监察部门举报查处。</w:t>
      </w:r>
    </w:p>
    <w:p>
      <w:pPr>
        <w:pStyle w:val="32"/>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方正仿宋_GBK" w:hAnsi="方正仿宋_GBK" w:eastAsia="方正仿宋_GBK" w:cs="方正仿宋_GBK"/>
          <w:b w:val="0"/>
          <w:color w:val="auto"/>
          <w:sz w:val="32"/>
          <w:szCs w:val="32"/>
          <w:lang w:val="en-US" w:eastAsia="zh-CN" w:bidi="ar-SA"/>
        </w:rPr>
      </w:pPr>
      <w:r>
        <w:rPr>
          <w:rFonts w:hint="eastAsia" w:ascii="方正仿宋_GBK" w:hAnsi="方正仿宋_GBK" w:eastAsia="方正仿宋_GBK" w:cs="方正仿宋_GBK"/>
          <w:b w:val="0"/>
          <w:color w:val="auto"/>
          <w:sz w:val="32"/>
          <w:szCs w:val="32"/>
          <w:lang w:val="en-US" w:eastAsia="zh-CN" w:bidi="ar-SA"/>
        </w:rPr>
        <w:t>十五、备注：其他未尽事宜双方自行协商。</w:t>
      </w:r>
    </w:p>
    <w:p>
      <w:pPr>
        <w:keepNext w:val="0"/>
        <w:keepLines w:val="0"/>
        <w:pageBreakBefore w:val="0"/>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甲方开票信息</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名称：大理白族自治州精神病医院（大理白族自治州第二人民医院）</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纳税人识别号：</w:t>
      </w:r>
      <w:r>
        <w:rPr>
          <w:rFonts w:hint="eastAsia" w:ascii="方正仿宋_GBK" w:hAnsi="方正仿宋_GBK" w:eastAsia="方正仿宋_GBK" w:cs="方正仿宋_GBK"/>
          <w:sz w:val="32"/>
          <w:szCs w:val="32"/>
          <w:lang w:val="en-US" w:eastAsia="zh-CN"/>
        </w:rPr>
        <w:t>12532900432545899G</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地址：大理市下关镇满江片区红山路与太和路交汇处 </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电话：0872-2193756</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开户行：交通银行大理分行 </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账号：539539350018010028866</w:t>
      </w:r>
    </w:p>
    <w:p>
      <w:pPr>
        <w:pStyle w:val="2"/>
        <w:keepNext w:val="0"/>
        <w:keepLines w:val="0"/>
        <w:pageBreakBefore w:val="0"/>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乙方开票信息</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名称：</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纳税人识别号：</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电话：</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开户行：</w:t>
      </w:r>
    </w:p>
    <w:p>
      <w:pPr>
        <w:keepNext w:val="0"/>
        <w:keepLines w:val="0"/>
        <w:pageBreakBefore w:val="0"/>
        <w:numPr>
          <w:ilvl w:val="0"/>
          <w:numId w:val="0"/>
        </w:numPr>
        <w:kinsoku/>
        <w:wordWrap/>
        <w:overflowPunct/>
        <w:topLinePunct w:val="0"/>
        <w:autoSpaceDE/>
        <w:bidi w:val="0"/>
        <w:snapToGrid/>
        <w:spacing w:line="46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left="0" w:leftChars="0" w:right="0" w:rightChars="0" w:firstLine="560"/>
        <w:textAlignment w:val="auto"/>
        <w:rPr>
          <w:rFonts w:hint="eastAsia" w:ascii="方正仿宋_GBK" w:hAnsi="方正仿宋_GBK" w:eastAsia="方正仿宋_GBK" w:cs="方正仿宋_GBK"/>
          <w:sz w:val="32"/>
          <w:szCs w:val="32"/>
        </w:rPr>
      </w:pPr>
    </w:p>
    <w:p>
      <w:pPr>
        <w:pStyle w:val="3"/>
        <w:bidi w:val="0"/>
        <w:outlineLvl w:val="9"/>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pStyle w:val="3"/>
        <w:bidi w:val="0"/>
        <w:outlineLvl w:val="9"/>
        <w:rPr>
          <w:rFonts w:hint="default" w:ascii="Times New Roman" w:hAnsi="Times New Roman" w:eastAsia="方正小标宋_GBK" w:cs="Times New Roman"/>
          <w:sz w:val="44"/>
          <w:szCs w:val="44"/>
          <w:lang w:val="en-US" w:eastAsia="zh-CN"/>
        </w:rPr>
      </w:pPr>
    </w:p>
    <w:p>
      <w:pPr>
        <w:pStyle w:val="3"/>
        <w:bidi w:val="0"/>
        <w:outlineLvl w:val="9"/>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cs="Times New Roman"/>
          <w:lang w:val="en-US" w:eastAsia="zh-CN"/>
        </w:rPr>
      </w:pPr>
      <w:bookmarkStart w:id="108" w:name="_Toc31320"/>
      <w:r>
        <w:rPr>
          <w:rFonts w:hint="default" w:ascii="Times New Roman" w:hAnsi="Times New Roman" w:cs="Times New Roman"/>
          <w:lang w:val="en-US" w:eastAsia="zh-CN"/>
        </w:rPr>
        <w:t>第四章 询 价 响 应 文 件 格 式</w:t>
      </w:r>
      <w:bookmarkEnd w:id="108"/>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rPr>
      </w:pPr>
      <w:bookmarkStart w:id="109" w:name="_Toc342_WPSOffice_Level2"/>
      <w:bookmarkStart w:id="110" w:name="_Toc9329_WPSOffice_Level2"/>
      <w:bookmarkStart w:id="111" w:name="_Toc24307"/>
      <w:r>
        <w:rPr>
          <w:rFonts w:hint="default"/>
        </w:rPr>
        <w:t>格式：封面</w:t>
      </w:r>
      <w:bookmarkEnd w:id="109"/>
      <w:bookmarkEnd w:id="110"/>
      <w:bookmarkEnd w:id="111"/>
    </w:p>
    <w:p>
      <w:pPr>
        <w:pStyle w:val="10"/>
        <w:bidi w:val="0"/>
        <w:rPr>
          <w:rFonts w:hint="default" w:ascii="Times New Roman" w:hAnsi="Times New Roman" w:cs="Times New Roman"/>
        </w:rPr>
      </w:pPr>
    </w:p>
    <w:p>
      <w:pPr>
        <w:pStyle w:val="10"/>
        <w:bidi w:val="0"/>
        <w:rPr>
          <w:rFonts w:hint="default" w:ascii="Times New Roman" w:hAnsi="Times New Roman" w:cs="Times New Roman"/>
        </w:rPr>
      </w:pPr>
    </w:p>
    <w:p>
      <w:pPr>
        <w:pStyle w:val="10"/>
        <w:bidi w:val="0"/>
        <w:rPr>
          <w:rFonts w:hint="default" w:ascii="Times New Roman" w:hAnsi="Times New Roman" w:cs="Times New Roman"/>
        </w:rPr>
      </w:pPr>
      <w:r>
        <w:rPr>
          <w:rFonts w:hint="default" w:ascii="Times New Roman" w:hAnsi="Times New Roman" w:cs="Times New Roman"/>
        </w:rPr>
        <w:tab/>
      </w:r>
    </w:p>
    <w:p>
      <w:pPr>
        <w:bidi w:val="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大理州第二人民医院2025年度部份高效液相色谱试剂耗材采购项目（二次）</w:t>
      </w:r>
    </w:p>
    <w:p>
      <w:pPr>
        <w:bidi w:val="0"/>
        <w:jc w:val="center"/>
        <w:rPr>
          <w:rFonts w:hint="eastAsia" w:ascii="方正仿宋_GBK" w:hAnsi="方正仿宋_GBK" w:eastAsia="方正仿宋_GBK" w:cs="方正仿宋_GBK"/>
        </w:rPr>
      </w:pPr>
    </w:p>
    <w:p>
      <w:pPr>
        <w:bidi w:val="0"/>
        <w:jc w:val="center"/>
        <w:rPr>
          <w:rFonts w:hint="eastAsia" w:ascii="方正仿宋_GBK" w:hAnsi="方正仿宋_GBK" w:eastAsia="方正仿宋_GBK" w:cs="方正仿宋_GBK"/>
        </w:rPr>
      </w:pPr>
    </w:p>
    <w:p>
      <w:pPr>
        <w:bidi w:val="0"/>
        <w:jc w:val="center"/>
        <w:rPr>
          <w:rFonts w:hint="eastAsia" w:ascii="方正仿宋_GBK" w:hAnsi="方正仿宋_GBK" w:eastAsia="方正仿宋_GBK" w:cs="方正仿宋_GBK"/>
        </w:rPr>
      </w:pPr>
      <w:bookmarkStart w:id="112" w:name="_Toc26690_WPSOffice_Level2"/>
      <w:bookmarkStart w:id="113" w:name="_Toc13706_WPSOffice_Level2"/>
      <w:bookmarkStart w:id="114" w:name="_Toc24124_WPSOffice_Level2"/>
      <w:bookmarkStart w:id="115" w:name="_Toc11031_WPSOffice_Level2"/>
      <w:bookmarkStart w:id="116" w:name="_Toc2693_WPSOffice_Level2"/>
      <w:bookmarkStart w:id="117" w:name="_Toc25434_WPSOffice_Level2"/>
      <w:bookmarkStart w:id="118" w:name="_Toc6650_WPSOffice_Level2"/>
      <w:bookmarkStart w:id="119" w:name="_Toc30281_WPSOffice_Level2"/>
      <w:bookmarkStart w:id="120" w:name="_Toc18221_WPSOffice_Level2"/>
      <w:bookmarkStart w:id="121" w:name="_Toc22688_WPSOffice_Level2"/>
      <w:r>
        <w:rPr>
          <w:rFonts w:hint="eastAsia" w:ascii="方正仿宋_GBK" w:hAnsi="方正仿宋_GBK" w:eastAsia="方正仿宋_GBK" w:cs="方正仿宋_GBK"/>
          <w:lang w:val="en-US" w:eastAsia="zh-CN"/>
        </w:rPr>
        <w:t>响</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lang w:val="en-US" w:eastAsia="zh-CN"/>
        </w:rPr>
        <w:t>应</w:t>
      </w:r>
      <w:r>
        <w:rPr>
          <w:rFonts w:hint="eastAsia" w:ascii="方正仿宋_GBK" w:hAnsi="方正仿宋_GBK" w:eastAsia="方正仿宋_GBK" w:cs="方正仿宋_GBK"/>
        </w:rPr>
        <w:t xml:space="preserve"> 文 件</w:t>
      </w:r>
      <w:bookmarkEnd w:id="112"/>
      <w:bookmarkEnd w:id="113"/>
      <w:bookmarkEnd w:id="114"/>
      <w:bookmarkEnd w:id="115"/>
      <w:bookmarkEnd w:id="116"/>
      <w:bookmarkEnd w:id="117"/>
      <w:bookmarkEnd w:id="118"/>
      <w:bookmarkEnd w:id="119"/>
      <w:bookmarkEnd w:id="120"/>
      <w:bookmarkEnd w:id="121"/>
    </w:p>
    <w:p>
      <w:pPr>
        <w:bidi w:val="0"/>
        <w:jc w:val="center"/>
        <w:rPr>
          <w:rFonts w:hint="eastAsia" w:ascii="方正仿宋_GBK" w:hAnsi="方正仿宋_GBK" w:eastAsia="方正仿宋_GBK" w:cs="方正仿宋_GBK"/>
        </w:rPr>
      </w:pPr>
    </w:p>
    <w:p>
      <w:pPr>
        <w:bidi w:val="0"/>
        <w:jc w:val="center"/>
        <w:rPr>
          <w:rFonts w:hint="eastAsia" w:ascii="方正仿宋_GBK" w:hAnsi="方正仿宋_GBK" w:eastAsia="方正仿宋_GBK" w:cs="方正仿宋_GBK"/>
          <w:lang w:val="en-US" w:eastAsia="zh-CN"/>
        </w:rPr>
      </w:pPr>
      <w:bookmarkStart w:id="122" w:name="_Toc32042_WPSOffice_Level2"/>
      <w:bookmarkStart w:id="123" w:name="_Toc29270_WPSOffice_Level2"/>
      <w:bookmarkStart w:id="124" w:name="_Toc26052_WPSOffice_Level2"/>
      <w:bookmarkStart w:id="125" w:name="_Toc3686_WPSOffice_Level2"/>
      <w:bookmarkStart w:id="126" w:name="_Toc17359_WPSOffice_Level2"/>
      <w:bookmarkStart w:id="127" w:name="_Toc32481_WPSOffice_Level2"/>
      <w:bookmarkStart w:id="128" w:name="_Toc31338_WPSOffice_Level2"/>
      <w:bookmarkStart w:id="129" w:name="_Toc15055_WPSOffice_Level2"/>
      <w:bookmarkStart w:id="130" w:name="_Toc3509_WPSOffice_Level2"/>
      <w:bookmarkStart w:id="131" w:name="_Toc7066_WPSOffice_Level2"/>
      <w:bookmarkStart w:id="132" w:name="_Toc28274_WPSOffice_Level2"/>
      <w:r>
        <w:rPr>
          <w:rFonts w:hint="eastAsia" w:ascii="方正仿宋_GBK" w:hAnsi="方正仿宋_GBK" w:eastAsia="方正仿宋_GBK" w:cs="方正仿宋_GBK"/>
          <w:lang w:eastAsia="zh-CN"/>
        </w:rPr>
        <w:t>项目编号</w:t>
      </w:r>
      <w:r>
        <w:rPr>
          <w:rFonts w:hint="eastAsia" w:ascii="方正仿宋_GBK" w:hAnsi="方正仿宋_GBK" w:eastAsia="方正仿宋_GBK" w:cs="方正仿宋_GBK"/>
        </w:rPr>
        <w:t>：</w:t>
      </w:r>
      <w:bookmarkEnd w:id="122"/>
      <w:bookmarkEnd w:id="123"/>
      <w:bookmarkEnd w:id="124"/>
      <w:bookmarkEnd w:id="125"/>
      <w:bookmarkEnd w:id="126"/>
      <w:bookmarkEnd w:id="127"/>
      <w:bookmarkEnd w:id="128"/>
      <w:bookmarkEnd w:id="129"/>
      <w:bookmarkEnd w:id="130"/>
      <w:bookmarkEnd w:id="131"/>
      <w:bookmarkEnd w:id="132"/>
      <w:r>
        <w:rPr>
          <w:rFonts w:hint="eastAsia" w:ascii="方正仿宋_GBK" w:hAnsi="方正仿宋_GBK" w:eastAsia="方正仿宋_GBK" w:cs="方正仿宋_GBK"/>
          <w:lang w:val="en-US" w:eastAsia="zh-CN"/>
        </w:rPr>
        <w:t>DLZEYSBK-2025-01</w:t>
      </w:r>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3" w:name="_Toc4294_WPSOffice_Level2"/>
      <w:bookmarkStart w:id="134"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33"/>
      <w:bookmarkEnd w:id="134"/>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5" w:name="_Toc14816_WPSOffice_Level2"/>
      <w:bookmarkStart w:id="136"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35"/>
      <w:bookmarkEnd w:id="13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7" w:name="_Toc29124_WPSOffice_Level2"/>
      <w:bookmarkStart w:id="138"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137"/>
      <w:bookmarkEnd w:id="138"/>
    </w:p>
    <w:p>
      <w:pPr>
        <w:pStyle w:val="10"/>
        <w:bidi w:val="0"/>
        <w:rPr>
          <w:rFonts w:hint="default" w:ascii="Times New Roman" w:hAnsi="Times New Roman" w:cs="Times New Roman"/>
          <w:lang w:val="en-US" w:eastAsia="zh-CN"/>
        </w:rPr>
      </w:pPr>
      <w:bookmarkStart w:id="139" w:name="_Toc15062"/>
    </w:p>
    <w:p>
      <w:pPr>
        <w:pStyle w:val="10"/>
        <w:bidi w:val="0"/>
        <w:rPr>
          <w:rFonts w:hint="default" w:ascii="Times New Roman" w:hAnsi="Times New Roman" w:cs="Times New Roman"/>
          <w:lang w:val="en-US" w:eastAsia="zh-CN"/>
        </w:rPr>
      </w:pPr>
    </w:p>
    <w:p>
      <w:pPr>
        <w:pStyle w:val="10"/>
        <w:bidi w:val="0"/>
        <w:rPr>
          <w:rFonts w:hint="default" w:ascii="Times New Roman" w:hAnsi="Times New Roman" w:cs="Times New Roman"/>
          <w:lang w:val="en-US" w:eastAsia="zh-CN"/>
        </w:rPr>
      </w:pPr>
    </w:p>
    <w:p>
      <w:pPr>
        <w:pStyle w:val="10"/>
        <w:bidi w:val="0"/>
        <w:rPr>
          <w:rFonts w:hint="default" w:ascii="Times New Roman" w:hAnsi="Times New Roman" w:cs="Times New Roman"/>
          <w:lang w:val="en-US" w:eastAsia="zh-CN"/>
        </w:rPr>
      </w:pPr>
    </w:p>
    <w:p>
      <w:pPr>
        <w:pStyle w:val="10"/>
        <w:bidi w:val="0"/>
        <w:rPr>
          <w:rFonts w:hint="default" w:ascii="Times New Roman" w:hAnsi="Times New Roman" w:cs="Times New Roman"/>
          <w:lang w:val="en-US" w:eastAsia="zh-CN"/>
        </w:rPr>
      </w:pPr>
    </w:p>
    <w:p>
      <w:pPr>
        <w:pStyle w:val="10"/>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jc w:val="center"/>
      </w:pPr>
      <w:bookmarkStart w:id="140" w:name="_Toc5819"/>
      <w:bookmarkStart w:id="141" w:name="_Toc486806866"/>
      <w:r>
        <w:rPr>
          <w:rFonts w:hint="eastAsia"/>
        </w:rPr>
        <w:t>开标（唱标）一览表</w:t>
      </w:r>
      <w:bookmarkEnd w:id="140"/>
      <w:bookmarkEnd w:id="141"/>
    </w:p>
    <w:p>
      <w:pPr>
        <w:spacing w:line="288" w:lineRule="auto"/>
        <w:rPr>
          <w:rFonts w:ascii="宋体" w:hAnsi="宋体" w:cs="宋体"/>
          <w:b/>
          <w:bCs/>
          <w:szCs w:val="21"/>
          <w:highlight w:val="none"/>
        </w:rPr>
      </w:pPr>
      <w:r>
        <w:rPr>
          <w:rFonts w:hint="eastAsia" w:ascii="宋体" w:hAnsi="宋体" w:cs="宋体"/>
          <w:b/>
          <w:bCs/>
          <w:szCs w:val="21"/>
          <w:highlight w:val="none"/>
        </w:rPr>
        <w:t>项目名称：</w:t>
      </w:r>
      <w:r>
        <w:rPr>
          <w:rFonts w:hint="eastAsia" w:ascii="宋体" w:hAnsi="宋体" w:cs="宋体"/>
          <w:b/>
          <w:bCs/>
          <w:szCs w:val="21"/>
          <w:highlight w:val="none"/>
          <w:u w:val="single"/>
        </w:rPr>
        <w:t xml:space="preserve">                         </w:t>
      </w:r>
    </w:p>
    <w:p>
      <w:pPr>
        <w:spacing w:line="288" w:lineRule="auto"/>
        <w:rPr>
          <w:rFonts w:ascii="宋体" w:hAnsi="宋体" w:cs="宋体"/>
          <w:szCs w:val="21"/>
          <w:highlight w:val="none"/>
          <w:u w:val="single"/>
        </w:rPr>
      </w:pPr>
      <w:r>
        <w:rPr>
          <w:rFonts w:hint="eastAsia" w:ascii="宋体" w:hAnsi="宋体" w:cs="宋体"/>
          <w:b/>
          <w:bCs/>
          <w:szCs w:val="21"/>
          <w:highlight w:val="none"/>
        </w:rPr>
        <w:t>项目编号：</w:t>
      </w:r>
      <w:r>
        <w:rPr>
          <w:rFonts w:hint="eastAsia" w:ascii="宋体" w:hAnsi="宋体" w:cs="宋体"/>
          <w:b/>
          <w:bCs/>
          <w:szCs w:val="21"/>
          <w:highlight w:val="none"/>
          <w:u w:val="single"/>
        </w:rPr>
        <w:t xml:space="preserve">                         </w:t>
      </w:r>
      <w:r>
        <w:rPr>
          <w:rFonts w:hint="eastAsia" w:ascii="宋体" w:hAnsi="宋体" w:cs="宋体"/>
          <w:b/>
          <w:szCs w:val="21"/>
          <w:highlight w:val="none"/>
        </w:rPr>
        <w:t xml:space="preserve">                           </w:t>
      </w:r>
    </w:p>
    <w:tbl>
      <w:tblPr>
        <w:tblStyle w:val="16"/>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71"/>
        <w:gridCol w:w="340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95"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序号</w:t>
            </w:r>
          </w:p>
        </w:tc>
        <w:tc>
          <w:tcPr>
            <w:tcW w:w="247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分项</w:t>
            </w:r>
          </w:p>
        </w:tc>
        <w:tc>
          <w:tcPr>
            <w:tcW w:w="340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供应商填报</w:t>
            </w:r>
          </w:p>
        </w:tc>
        <w:tc>
          <w:tcPr>
            <w:tcW w:w="1486"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95" w:type="dxa"/>
            <w:vAlign w:val="center"/>
          </w:tcPr>
          <w:p>
            <w:pPr>
              <w:spacing w:line="288" w:lineRule="auto"/>
              <w:jc w:val="center"/>
              <w:rPr>
                <w:rFonts w:ascii="宋体" w:hAnsi="宋体" w:cs="宋体"/>
                <w:sz w:val="21"/>
                <w:szCs w:val="22"/>
                <w:highlight w:val="none"/>
              </w:rPr>
            </w:pPr>
            <w:r>
              <w:rPr>
                <w:rFonts w:hint="eastAsia" w:ascii="宋体" w:hAnsi="宋体" w:cs="宋体"/>
                <w:sz w:val="21"/>
                <w:szCs w:val="22"/>
                <w:highlight w:val="none"/>
              </w:rPr>
              <w:t>1</w:t>
            </w:r>
          </w:p>
        </w:tc>
        <w:tc>
          <w:tcPr>
            <w:tcW w:w="247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投标合计金额</w:t>
            </w:r>
          </w:p>
        </w:tc>
        <w:tc>
          <w:tcPr>
            <w:tcW w:w="3401" w:type="dxa"/>
            <w:vAlign w:val="center"/>
          </w:tcPr>
          <w:p>
            <w:pPr>
              <w:spacing w:line="288" w:lineRule="auto"/>
              <w:rPr>
                <w:rFonts w:hint="eastAsia"/>
                <w:sz w:val="24"/>
                <w:szCs w:val="21"/>
                <w:lang w:val="en-US" w:eastAsia="zh-CN"/>
              </w:rPr>
            </w:pPr>
            <w:r>
              <w:rPr>
                <w:rFonts w:hint="eastAsia"/>
                <w:sz w:val="24"/>
                <w:szCs w:val="21"/>
                <w:lang w:val="en-US" w:eastAsia="zh-CN"/>
              </w:rPr>
              <w:t>￥          ；</w:t>
            </w:r>
          </w:p>
          <w:p>
            <w:pPr>
              <w:spacing w:line="288" w:lineRule="auto"/>
              <w:rPr>
                <w:rFonts w:hint="default"/>
                <w:lang w:val="en-US" w:eastAsia="zh-CN"/>
              </w:rPr>
            </w:pPr>
            <w:r>
              <w:rPr>
                <w:rFonts w:hint="eastAsia"/>
                <w:sz w:val="24"/>
                <w:szCs w:val="21"/>
                <w:lang w:val="en-US" w:eastAsia="zh-CN"/>
              </w:rPr>
              <w:t>人民币        元</w:t>
            </w:r>
          </w:p>
        </w:tc>
        <w:tc>
          <w:tcPr>
            <w:tcW w:w="1486" w:type="dxa"/>
            <w:vAlign w:val="center"/>
          </w:tcPr>
          <w:p>
            <w:pPr>
              <w:spacing w:line="288" w:lineRule="auto"/>
              <w:jc w:val="center"/>
              <w:rPr>
                <w:rFonts w:ascii="宋体"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5" w:type="dxa"/>
            <w:vAlign w:val="center"/>
          </w:tcPr>
          <w:p>
            <w:pPr>
              <w:spacing w:line="288" w:lineRule="auto"/>
              <w:jc w:val="center"/>
              <w:rPr>
                <w:rFonts w:ascii="宋体" w:hAnsi="宋体" w:cs="宋体"/>
                <w:sz w:val="21"/>
                <w:szCs w:val="22"/>
                <w:highlight w:val="none"/>
              </w:rPr>
            </w:pPr>
            <w:r>
              <w:rPr>
                <w:rFonts w:hint="eastAsia" w:ascii="宋体" w:hAnsi="宋体" w:cs="宋体"/>
                <w:sz w:val="21"/>
                <w:szCs w:val="22"/>
                <w:highlight w:val="none"/>
              </w:rPr>
              <w:t>2</w:t>
            </w:r>
          </w:p>
        </w:tc>
        <w:tc>
          <w:tcPr>
            <w:tcW w:w="247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合同履行期限</w:t>
            </w:r>
          </w:p>
        </w:tc>
        <w:tc>
          <w:tcPr>
            <w:tcW w:w="3401" w:type="dxa"/>
            <w:vAlign w:val="center"/>
          </w:tcPr>
          <w:p>
            <w:pPr>
              <w:spacing w:line="288" w:lineRule="auto"/>
              <w:jc w:val="center"/>
              <w:rPr>
                <w:rFonts w:ascii="宋体" w:hAnsi="宋体" w:cs="宋体"/>
                <w:sz w:val="21"/>
                <w:szCs w:val="22"/>
                <w:highlight w:val="none"/>
              </w:rPr>
            </w:pPr>
          </w:p>
        </w:tc>
        <w:tc>
          <w:tcPr>
            <w:tcW w:w="1486" w:type="dxa"/>
            <w:vAlign w:val="center"/>
          </w:tcPr>
          <w:p>
            <w:pPr>
              <w:spacing w:line="288" w:lineRule="auto"/>
              <w:jc w:val="center"/>
              <w:rPr>
                <w:rFonts w:ascii="宋体"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95" w:type="dxa"/>
            <w:vAlign w:val="center"/>
          </w:tcPr>
          <w:p>
            <w:pPr>
              <w:spacing w:line="288" w:lineRule="auto"/>
              <w:jc w:val="center"/>
              <w:rPr>
                <w:rFonts w:hint="eastAsia" w:ascii="宋体" w:hAnsi="宋体" w:eastAsia="宋体" w:cs="宋体"/>
                <w:sz w:val="21"/>
                <w:szCs w:val="22"/>
                <w:highlight w:val="none"/>
                <w:lang w:eastAsia="zh-CN"/>
              </w:rPr>
            </w:pPr>
            <w:r>
              <w:rPr>
                <w:rFonts w:hint="eastAsia" w:ascii="宋体" w:hAnsi="宋体" w:cs="宋体"/>
                <w:sz w:val="21"/>
                <w:szCs w:val="22"/>
                <w:highlight w:val="none"/>
                <w:lang w:val="en-US" w:eastAsia="zh-CN"/>
              </w:rPr>
              <w:t>3</w:t>
            </w:r>
          </w:p>
        </w:tc>
        <w:tc>
          <w:tcPr>
            <w:tcW w:w="247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供货地点</w:t>
            </w:r>
          </w:p>
        </w:tc>
        <w:tc>
          <w:tcPr>
            <w:tcW w:w="3401" w:type="dxa"/>
            <w:vAlign w:val="center"/>
          </w:tcPr>
          <w:p>
            <w:pPr>
              <w:spacing w:line="288" w:lineRule="auto"/>
              <w:jc w:val="center"/>
              <w:rPr>
                <w:rFonts w:ascii="宋体" w:hAnsi="宋体" w:cs="宋体"/>
                <w:sz w:val="21"/>
                <w:szCs w:val="22"/>
                <w:highlight w:val="none"/>
              </w:rPr>
            </w:pPr>
          </w:p>
        </w:tc>
        <w:tc>
          <w:tcPr>
            <w:tcW w:w="1486" w:type="dxa"/>
            <w:vAlign w:val="center"/>
          </w:tcPr>
          <w:p>
            <w:pPr>
              <w:spacing w:line="288" w:lineRule="auto"/>
              <w:jc w:val="center"/>
              <w:rPr>
                <w:rFonts w:ascii="宋体"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5" w:type="dxa"/>
            <w:vAlign w:val="center"/>
          </w:tcPr>
          <w:p>
            <w:pPr>
              <w:spacing w:line="288" w:lineRule="auto"/>
              <w:jc w:val="center"/>
              <w:rPr>
                <w:rFonts w:hint="eastAsia" w:ascii="宋体" w:hAnsi="宋体" w:eastAsia="宋体" w:cs="宋体"/>
                <w:sz w:val="21"/>
                <w:szCs w:val="22"/>
                <w:highlight w:val="none"/>
                <w:lang w:eastAsia="zh-CN"/>
              </w:rPr>
            </w:pPr>
            <w:r>
              <w:rPr>
                <w:rFonts w:hint="eastAsia" w:ascii="宋体" w:hAnsi="宋体" w:cs="宋体"/>
                <w:sz w:val="21"/>
                <w:szCs w:val="22"/>
                <w:highlight w:val="none"/>
                <w:lang w:val="en-US" w:eastAsia="zh-CN"/>
              </w:rPr>
              <w:t>4</w:t>
            </w:r>
          </w:p>
        </w:tc>
        <w:tc>
          <w:tcPr>
            <w:tcW w:w="2471" w:type="dxa"/>
            <w:vAlign w:val="center"/>
          </w:tcPr>
          <w:p>
            <w:pPr>
              <w:spacing w:line="288" w:lineRule="auto"/>
              <w:jc w:val="center"/>
              <w:rPr>
                <w:rFonts w:ascii="宋体" w:hAnsi="宋体" w:cs="宋体"/>
                <w:sz w:val="28"/>
                <w:szCs w:val="32"/>
                <w:highlight w:val="none"/>
              </w:rPr>
            </w:pPr>
            <w:r>
              <w:rPr>
                <w:rFonts w:hint="eastAsia" w:ascii="宋体" w:hAnsi="宋体" w:cs="宋体"/>
                <w:sz w:val="28"/>
                <w:szCs w:val="32"/>
                <w:highlight w:val="none"/>
              </w:rPr>
              <w:t>备注</w:t>
            </w:r>
          </w:p>
        </w:tc>
        <w:tc>
          <w:tcPr>
            <w:tcW w:w="3401" w:type="dxa"/>
            <w:vAlign w:val="center"/>
          </w:tcPr>
          <w:p>
            <w:pPr>
              <w:spacing w:line="288" w:lineRule="auto"/>
              <w:jc w:val="center"/>
              <w:rPr>
                <w:rFonts w:ascii="宋体" w:hAnsi="宋体" w:cs="宋体"/>
                <w:sz w:val="21"/>
                <w:szCs w:val="22"/>
                <w:highlight w:val="none"/>
              </w:rPr>
            </w:pPr>
          </w:p>
        </w:tc>
        <w:tc>
          <w:tcPr>
            <w:tcW w:w="1486" w:type="dxa"/>
            <w:vAlign w:val="center"/>
          </w:tcPr>
          <w:p>
            <w:pPr>
              <w:spacing w:line="288" w:lineRule="auto"/>
              <w:jc w:val="center"/>
              <w:rPr>
                <w:rFonts w:ascii="宋体" w:hAnsi="宋体" w:cs="宋体"/>
                <w:sz w:val="21"/>
                <w:szCs w:val="22"/>
                <w:highlight w:val="none"/>
              </w:rPr>
            </w:pPr>
          </w:p>
        </w:tc>
      </w:tr>
    </w:tbl>
    <w:p>
      <w:pPr>
        <w:spacing w:line="288" w:lineRule="auto"/>
        <w:rPr>
          <w:rFonts w:ascii="宋体" w:hAnsi="宋体" w:cs="宋体"/>
          <w:sz w:val="21"/>
          <w:szCs w:val="21"/>
          <w:highlight w:val="none"/>
        </w:rPr>
      </w:pPr>
    </w:p>
    <w:p>
      <w:pPr>
        <w:spacing w:line="288" w:lineRule="auto"/>
        <w:ind w:left="-416" w:leftChars="-130" w:right="45" w:rightChars="14" w:firstLine="562" w:firstLineChars="200"/>
        <w:rPr>
          <w:rFonts w:ascii="宋体" w:hAnsi="宋体" w:cs="宋体"/>
          <w:kern w:val="2"/>
          <w:sz w:val="28"/>
          <w:szCs w:val="28"/>
          <w:highlight w:val="none"/>
        </w:rPr>
      </w:pPr>
      <w:r>
        <w:rPr>
          <w:rFonts w:hint="eastAsia" w:ascii="宋体" w:hAnsi="宋体" w:cs="宋体"/>
          <w:b/>
          <w:kern w:val="2"/>
          <w:sz w:val="28"/>
          <w:szCs w:val="28"/>
          <w:highlight w:val="none"/>
        </w:rPr>
        <w:t>注：1、此表应附在报价文件封面后第一页；</w:t>
      </w:r>
      <w:r>
        <w:rPr>
          <w:rFonts w:hint="eastAsia" w:ascii="宋体" w:hAnsi="宋体" w:cs="宋体"/>
          <w:kern w:val="2"/>
          <w:sz w:val="28"/>
          <w:szCs w:val="28"/>
          <w:highlight w:val="none"/>
        </w:rPr>
        <w:t>2、投标总价为</w:t>
      </w:r>
      <w:r>
        <w:rPr>
          <w:rFonts w:hint="eastAsia" w:ascii="宋体" w:hAnsi="宋体" w:cs="宋体"/>
          <w:bCs/>
          <w:kern w:val="2"/>
          <w:sz w:val="28"/>
          <w:szCs w:val="28"/>
          <w:highlight w:val="none"/>
        </w:rPr>
        <w:t>本包</w:t>
      </w:r>
      <w:r>
        <w:rPr>
          <w:rFonts w:hint="eastAsia" w:ascii="宋体" w:hAnsi="宋体" w:cs="宋体"/>
          <w:kern w:val="2"/>
          <w:sz w:val="28"/>
          <w:szCs w:val="28"/>
          <w:highlight w:val="none"/>
        </w:rPr>
        <w:t>货物现场完税价及</w:t>
      </w:r>
      <w:r>
        <w:rPr>
          <w:rFonts w:hint="eastAsia" w:ascii="宋体" w:hAnsi="宋体" w:cs="宋体"/>
          <w:sz w:val="28"/>
          <w:szCs w:val="28"/>
          <w:highlight w:val="none"/>
        </w:rPr>
        <w:t>投标货物</w:t>
      </w:r>
      <w:r>
        <w:rPr>
          <w:rFonts w:hint="eastAsia" w:ascii="宋体" w:hAnsi="宋体" w:cs="宋体"/>
          <w:bCs/>
          <w:sz w:val="28"/>
          <w:szCs w:val="28"/>
          <w:highlight w:val="none"/>
        </w:rPr>
        <w:t>必不可少的部件、标准备件、专用工具</w:t>
      </w:r>
      <w:r>
        <w:rPr>
          <w:rFonts w:hint="eastAsia" w:ascii="宋体" w:hAnsi="宋体" w:cs="宋体"/>
          <w:sz w:val="28"/>
          <w:szCs w:val="28"/>
          <w:highlight w:val="none"/>
        </w:rPr>
        <w:t>费用</w:t>
      </w:r>
      <w:r>
        <w:rPr>
          <w:rFonts w:hint="eastAsia" w:ascii="宋体" w:hAnsi="宋体" w:cs="宋体"/>
          <w:kern w:val="2"/>
          <w:sz w:val="28"/>
          <w:szCs w:val="28"/>
          <w:highlight w:val="none"/>
        </w:rPr>
        <w:t>，已包括与本次投标货物和伴随服务相关的所有税费以及供应商为完成本项目、达到询价文件要求所需要的全部费用，采购人不再另行支付其他任何费用；3、所有价格单位为人民币元；4、报价项应是投标货物及相关服务的全部费用的报价；5、信息须真实准确。</w:t>
      </w:r>
    </w:p>
    <w:p>
      <w:pPr>
        <w:spacing w:line="288" w:lineRule="auto"/>
        <w:rPr>
          <w:rFonts w:ascii="宋体" w:hAnsi="宋体" w:cs="宋体"/>
          <w:sz w:val="44"/>
          <w:szCs w:val="28"/>
          <w:highlight w:val="none"/>
        </w:rPr>
      </w:pPr>
      <w:r>
        <w:rPr>
          <w:rFonts w:hint="eastAsia" w:ascii="宋体" w:hAnsi="宋体" w:cs="宋体"/>
          <w:sz w:val="44"/>
          <w:szCs w:val="28"/>
          <w:highlight w:val="none"/>
        </w:rPr>
        <w:t xml:space="preserve"> </w:t>
      </w:r>
    </w:p>
    <w:p>
      <w:pPr>
        <w:spacing w:line="288" w:lineRule="auto"/>
        <w:ind w:left="1280" w:leftChars="400"/>
        <w:jc w:val="right"/>
        <w:rPr>
          <w:rFonts w:ascii="宋体" w:hAnsi="宋体" w:cs="宋体"/>
          <w:bCs/>
          <w:sz w:val="28"/>
          <w:szCs w:val="28"/>
          <w:highlight w:val="none"/>
          <w:u w:val="singl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rPr>
        <w:t xml:space="preserve">                           （盖章）</w:t>
      </w:r>
    </w:p>
    <w:p>
      <w:pPr>
        <w:spacing w:line="288" w:lineRule="auto"/>
        <w:ind w:left="1280" w:leftChars="400"/>
        <w:jc w:val="right"/>
        <w:rPr>
          <w:rFonts w:ascii="宋体" w:hAnsi="宋体" w:cs="宋体"/>
          <w:bCs/>
          <w:sz w:val="28"/>
          <w:szCs w:val="28"/>
          <w:highlight w:val="none"/>
          <w:u w:val="single"/>
        </w:rPr>
      </w:pPr>
      <w:r>
        <w:rPr>
          <w:rFonts w:hint="eastAsia" w:ascii="宋体" w:hAnsi="宋体" w:cs="宋体"/>
          <w:bCs/>
          <w:sz w:val="28"/>
          <w:szCs w:val="28"/>
          <w:highlight w:val="none"/>
        </w:rPr>
        <w:t>法定代表人或其委托代理人：</w:t>
      </w:r>
      <w:r>
        <w:rPr>
          <w:rFonts w:hint="eastAsia" w:ascii="宋体" w:hAnsi="宋体" w:cs="宋体"/>
          <w:bCs/>
          <w:sz w:val="28"/>
          <w:szCs w:val="28"/>
          <w:highlight w:val="none"/>
          <w:u w:val="single"/>
        </w:rPr>
        <w:t xml:space="preserve">           （签字或盖章）</w:t>
      </w:r>
    </w:p>
    <w:p>
      <w:pPr>
        <w:spacing w:line="288" w:lineRule="auto"/>
        <w:ind w:firstLine="840" w:firstLineChars="300"/>
        <w:jc w:val="right"/>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bidi w:val="0"/>
        <w:jc w:val="center"/>
        <w:outlineLvl w:val="1"/>
        <w:rPr>
          <w:rFonts w:hint="eastAsia" w:ascii="方正黑体_GBK" w:hAnsi="方正黑体_GBK" w:eastAsia="方正黑体_GBK" w:cs="方正黑体_GBK"/>
        </w:rPr>
      </w:pPr>
      <w:bookmarkStart w:id="142" w:name="_Toc21942"/>
      <w:bookmarkStart w:id="143" w:name="_Toc293070877"/>
      <w:bookmarkStart w:id="144" w:name="_Toc398022659"/>
    </w:p>
    <w:p>
      <w:pPr>
        <w:bidi w:val="0"/>
        <w:jc w:val="center"/>
        <w:outlineLvl w:val="1"/>
        <w:rPr>
          <w:rFonts w:hint="eastAsia" w:ascii="方正黑体_GBK" w:hAnsi="方正黑体_GBK" w:eastAsia="方正黑体_GBK" w:cs="方正黑体_GBK"/>
        </w:rPr>
      </w:pPr>
    </w:p>
    <w:p>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一、报价函</w:t>
      </w:r>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致：</w:t>
      </w:r>
      <w:r>
        <w:rPr>
          <w:rFonts w:hint="eastAsia" w:ascii="宋体" w:hAnsi="宋体" w:cs="宋体"/>
          <w:kern w:val="2"/>
          <w:sz w:val="28"/>
          <w:szCs w:val="28"/>
          <w:highlight w:val="none"/>
          <w:u w:val="single"/>
        </w:rPr>
        <w:t xml:space="preserve">             </w:t>
      </w:r>
      <w:r>
        <w:rPr>
          <w:rFonts w:hint="eastAsia" w:ascii="宋体" w:hAnsi="宋体" w:cs="宋体"/>
          <w:kern w:val="2"/>
          <w:sz w:val="28"/>
          <w:szCs w:val="28"/>
          <w:highlight w:val="none"/>
        </w:rPr>
        <w:t>（采购人）</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1、我方已仔细研究了项目编号为</w:t>
      </w:r>
      <w:r>
        <w:rPr>
          <w:rFonts w:hint="eastAsia" w:ascii="宋体" w:hAnsi="宋体" w:cs="宋体"/>
          <w:kern w:val="2"/>
          <w:sz w:val="28"/>
          <w:szCs w:val="28"/>
          <w:highlight w:val="none"/>
          <w:u w:val="single"/>
        </w:rPr>
        <w:t xml:space="preserve">      </w:t>
      </w:r>
      <w:r>
        <w:rPr>
          <w:rFonts w:hint="eastAsia" w:ascii="宋体" w:hAnsi="宋体" w:cs="宋体"/>
          <w:kern w:val="2"/>
          <w:sz w:val="28"/>
          <w:szCs w:val="28"/>
          <w:highlight w:val="none"/>
        </w:rPr>
        <w:t>的</w:t>
      </w:r>
      <w:r>
        <w:rPr>
          <w:rFonts w:hint="eastAsia" w:ascii="宋体" w:hAnsi="宋体" w:cs="宋体"/>
          <w:kern w:val="2"/>
          <w:sz w:val="28"/>
          <w:szCs w:val="28"/>
          <w:highlight w:val="none"/>
          <w:u w:val="single"/>
        </w:rPr>
        <w:t xml:space="preserve">  </w:t>
      </w:r>
      <w:r>
        <w:rPr>
          <w:rFonts w:hint="eastAsia" w:ascii="宋体" w:hAnsi="宋体" w:cs="宋体"/>
          <w:kern w:val="2"/>
          <w:sz w:val="28"/>
          <w:szCs w:val="28"/>
          <w:highlight w:val="none"/>
          <w:u w:val="single"/>
          <w:lang w:val="en-US" w:eastAsia="zh-CN"/>
        </w:rPr>
        <w:t xml:space="preserve">        </w:t>
      </w:r>
      <w:r>
        <w:rPr>
          <w:rFonts w:hint="eastAsia" w:ascii="宋体" w:hAnsi="宋体" w:cs="宋体"/>
          <w:kern w:val="2"/>
          <w:sz w:val="28"/>
          <w:szCs w:val="28"/>
          <w:highlight w:val="none"/>
          <w:u w:val="single"/>
        </w:rPr>
        <w:t xml:space="preserve">（项目名称） </w:t>
      </w:r>
      <w:r>
        <w:rPr>
          <w:rFonts w:hint="eastAsia" w:ascii="宋体" w:hAnsi="宋体" w:cs="宋体"/>
          <w:kern w:val="2"/>
          <w:sz w:val="28"/>
          <w:szCs w:val="28"/>
          <w:highlight w:val="none"/>
        </w:rPr>
        <w:t>询价文件的全部内容，我方</w:t>
      </w:r>
      <w:r>
        <w:rPr>
          <w:rFonts w:hint="eastAsia" w:ascii="宋体" w:hAnsi="宋体" w:cs="宋体"/>
          <w:kern w:val="2"/>
          <w:sz w:val="28"/>
          <w:szCs w:val="28"/>
          <w:highlight w:val="none"/>
          <w:lang w:eastAsia="zh-CN"/>
        </w:rPr>
        <w:t>合计金额</w:t>
      </w:r>
      <w:r>
        <w:rPr>
          <w:rFonts w:hint="eastAsia" w:ascii="宋体" w:hAnsi="宋体" w:cs="宋体"/>
          <w:kern w:val="2"/>
          <w:sz w:val="28"/>
          <w:szCs w:val="28"/>
          <w:highlight w:val="none"/>
        </w:rPr>
        <w:t>报价为￥</w:t>
      </w:r>
      <w:r>
        <w:rPr>
          <w:rFonts w:hint="eastAsia" w:ascii="宋体" w:hAnsi="宋体" w:cs="宋体"/>
          <w:kern w:val="2"/>
          <w:sz w:val="28"/>
          <w:szCs w:val="28"/>
          <w:highlight w:val="none"/>
          <w:u w:val="single"/>
          <w:lang w:val="en-US" w:eastAsia="zh-CN"/>
        </w:rPr>
        <w:t xml:space="preserve">        </w:t>
      </w:r>
      <w:r>
        <w:rPr>
          <w:rFonts w:hint="eastAsia" w:ascii="宋体" w:hAnsi="宋体" w:cs="宋体"/>
          <w:kern w:val="2"/>
          <w:sz w:val="28"/>
          <w:szCs w:val="28"/>
          <w:highlight w:val="none"/>
          <w:lang w:val="en-US" w:eastAsia="zh-CN"/>
        </w:rPr>
        <w:t>（人民币</w:t>
      </w:r>
      <w:r>
        <w:rPr>
          <w:rFonts w:hint="eastAsia" w:ascii="宋体" w:hAnsi="宋体" w:cs="宋体"/>
          <w:kern w:val="2"/>
          <w:sz w:val="28"/>
          <w:szCs w:val="28"/>
          <w:highlight w:val="none"/>
          <w:u w:val="single"/>
          <w:lang w:val="en-US" w:eastAsia="zh-CN"/>
        </w:rPr>
        <w:t xml:space="preserve">       </w:t>
      </w:r>
      <w:r>
        <w:rPr>
          <w:rFonts w:hint="eastAsia" w:ascii="宋体" w:hAnsi="宋体" w:cs="宋体"/>
          <w:kern w:val="2"/>
          <w:sz w:val="28"/>
          <w:szCs w:val="28"/>
          <w:highlight w:val="none"/>
          <w:lang w:val="en-US" w:eastAsia="zh-CN"/>
        </w:rPr>
        <w:t>元）</w:t>
      </w:r>
      <w:r>
        <w:rPr>
          <w:rFonts w:hint="eastAsia" w:ascii="宋体" w:hAnsi="宋体" w:cs="宋体"/>
          <w:kern w:val="2"/>
          <w:sz w:val="28"/>
          <w:szCs w:val="28"/>
          <w:highlight w:val="none"/>
        </w:rPr>
        <w:t>，愿意按照询价文件中的要求，向你方提供本项目的货物，并严格执行所承诺的责任和义务。</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2、我方同意在供应商须知规定的开标日期起遵循本报价文件，并在询价文件供应商须知内容规定的报价文件有效期满之前均具有约束力。如果我方投标被接受，则至合同履行完、质保期满为止，本投标函保持有效。</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3、如我方投标被接受，将保证忠实地执行买卖双方所签服务合同，在服务时间内提供相应货物，并承担合同规定的责任义务。</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4、我方已详细审核询价文件，我方知道必须放弃提出含糊不清或误解问题的权利。</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5、同意应贵方要求提供与本投标有关的任何数据或资料。</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6、我方完全理解贵方不一定要接受最低报价的供应商为成交人的行为。</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7、若贵方需要，我方愿意提供我方作出的一切承诺的证明材料。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地址：</w:t>
      </w:r>
      <w:r>
        <w:rPr>
          <w:rFonts w:hint="eastAsia" w:ascii="宋体" w:hAnsi="宋体" w:cs="宋体"/>
          <w:kern w:val="2"/>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邮政编码：</w:t>
      </w:r>
      <w:r>
        <w:rPr>
          <w:rFonts w:hint="eastAsia" w:ascii="宋体" w:hAnsi="宋体" w:cs="宋体"/>
          <w:kern w:val="2"/>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电话：</w:t>
      </w:r>
      <w:r>
        <w:rPr>
          <w:rFonts w:hint="eastAsia" w:ascii="宋体" w:hAnsi="宋体" w:cs="宋体"/>
          <w:kern w:val="2"/>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u w:val="single"/>
        </w:rPr>
      </w:pPr>
      <w:r>
        <w:rPr>
          <w:rFonts w:hint="eastAsia" w:ascii="宋体" w:hAnsi="宋体" w:cs="宋体"/>
          <w:kern w:val="2"/>
          <w:sz w:val="28"/>
          <w:szCs w:val="28"/>
          <w:highlight w:val="none"/>
        </w:rPr>
        <w:t>传真：</w:t>
      </w:r>
      <w:r>
        <w:rPr>
          <w:rFonts w:hint="eastAsia" w:ascii="宋体" w:hAnsi="宋体" w:cs="宋体"/>
          <w:kern w:val="2"/>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开户名称：</w:t>
      </w:r>
      <w:r>
        <w:rPr>
          <w:rFonts w:hint="eastAsia" w:ascii="宋体" w:hAnsi="宋体" w:cs="宋体"/>
          <w:kern w:val="2"/>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开户银行</w:t>
      </w:r>
      <w:r>
        <w:rPr>
          <w:rFonts w:hint="eastAsia" w:ascii="宋体" w:hAnsi="宋体" w:cs="宋体"/>
          <w:kern w:val="2"/>
          <w:sz w:val="28"/>
          <w:szCs w:val="28"/>
          <w:highlight w:val="none"/>
          <w:lang w:eastAsia="zh-CN"/>
        </w:rPr>
        <w:t>及账号</w:t>
      </w:r>
      <w:r>
        <w:rPr>
          <w:rFonts w:hint="eastAsia" w:ascii="宋体" w:hAnsi="宋体" w:cs="宋体"/>
          <w:kern w:val="2"/>
          <w:sz w:val="28"/>
          <w:szCs w:val="28"/>
          <w:highlight w:val="none"/>
        </w:rPr>
        <w:t>：</w:t>
      </w:r>
      <w:r>
        <w:rPr>
          <w:rFonts w:hint="eastAsia" w:ascii="宋体" w:hAnsi="宋体" w:cs="宋体"/>
          <w:kern w:val="2"/>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法定代表人：</w:t>
      </w:r>
      <w:r>
        <w:rPr>
          <w:rFonts w:hint="eastAsia" w:ascii="宋体" w:hAnsi="宋体" w:cs="宋体"/>
          <w:kern w:val="2"/>
          <w:sz w:val="28"/>
          <w:szCs w:val="28"/>
          <w:highlight w:val="none"/>
          <w:u w:val="single"/>
        </w:rPr>
        <w:t xml:space="preserve">                                </w:t>
      </w:r>
      <w:r>
        <w:rPr>
          <w:rFonts w:hint="eastAsia" w:ascii="宋体" w:hAnsi="宋体" w:cs="宋体"/>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供应商：</w:t>
      </w:r>
      <w:r>
        <w:rPr>
          <w:rFonts w:hint="eastAsia" w:ascii="宋体" w:hAnsi="宋体" w:cs="宋体"/>
          <w:kern w:val="2"/>
          <w:sz w:val="28"/>
          <w:szCs w:val="28"/>
          <w:highlight w:val="none"/>
          <w:u w:val="single"/>
        </w:rPr>
        <w:t xml:space="preserve">                                    </w:t>
      </w:r>
      <w:r>
        <w:rPr>
          <w:rFonts w:hint="eastAsia" w:ascii="宋体" w:hAnsi="宋体" w:cs="宋体"/>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bidi w:val="0"/>
        <w:jc w:val="center"/>
        <w:outlineLvl w:val="1"/>
        <w:rPr>
          <w:rFonts w:hint="eastAsia" w:ascii="Arial" w:hAnsi="Arial" w:eastAsia="方正黑体_GBK" w:cstheme="minorBidi"/>
          <w:b w:val="0"/>
          <w:bCs/>
          <w:kern w:val="0"/>
          <w:sz w:val="32"/>
          <w:szCs w:val="24"/>
          <w:lang w:val="en-US" w:eastAsia="zh-CN" w:bidi="ar-SA"/>
        </w:rPr>
      </w:pPr>
      <w:bookmarkStart w:id="145" w:name="_Toc194989309"/>
      <w:bookmarkStart w:id="146" w:name="_Toc125530884"/>
      <w:bookmarkStart w:id="147" w:name="_Toc219959165"/>
      <w:bookmarkStart w:id="148" w:name="_Toc119402781"/>
      <w:bookmarkStart w:id="149" w:name="_Toc215404496"/>
      <w:bookmarkStart w:id="150" w:name="_Toc499"/>
    </w:p>
    <w:p>
      <w:pPr>
        <w:bidi w:val="0"/>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w:t>
      </w:r>
      <w:bookmarkEnd w:id="145"/>
      <w:bookmarkEnd w:id="146"/>
      <w:bookmarkEnd w:id="147"/>
      <w:bookmarkEnd w:id="148"/>
      <w:bookmarkEnd w:id="149"/>
      <w:r>
        <w:rPr>
          <w:rFonts w:hint="eastAsia" w:ascii="方正黑体_GBK" w:hAnsi="方正黑体_GBK" w:eastAsia="方正黑体_GBK" w:cs="方正黑体_GBK"/>
          <w:lang w:val="en-US" w:eastAsia="zh-CN"/>
        </w:rPr>
        <w:t>、法定代表人身份证明书</w:t>
      </w:r>
      <w:bookmarkEnd w:id="150"/>
    </w:p>
    <w:p>
      <w:pPr>
        <w:spacing w:line="288" w:lineRule="auto"/>
        <w:rPr>
          <w:rFonts w:ascii="宋体" w:hAnsi="宋体" w:cs="宋体"/>
          <w:highlight w:val="none"/>
        </w:rPr>
      </w:pPr>
    </w:p>
    <w:p>
      <w:pPr>
        <w:spacing w:line="288" w:lineRule="auto"/>
        <w:ind w:firstLine="612"/>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单位性质：</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pPr>
        <w:spacing w:line="288" w:lineRule="auto"/>
        <w:ind w:firstLine="610"/>
        <w:rPr>
          <w:rFonts w:ascii="宋体" w:hAnsi="宋体" w:cs="宋体"/>
          <w:sz w:val="28"/>
          <w:szCs w:val="28"/>
          <w:highlight w:val="none"/>
        </w:rPr>
      </w:pPr>
      <w:r>
        <w:rPr>
          <w:rFonts w:hint="eastAsia" w:ascii="宋体" w:hAnsi="宋体" w:cs="宋体"/>
          <w:sz w:val="28"/>
          <w:szCs w:val="28"/>
          <w:highlight w:val="none"/>
        </w:rPr>
        <w:t>成立时间：</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经营期限：</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姓    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性别：</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年龄：</w:t>
      </w:r>
      <w:r>
        <w:rPr>
          <w:rFonts w:hint="eastAsia" w:ascii="宋体" w:hAnsi="宋体" w:cs="宋体"/>
          <w:sz w:val="28"/>
          <w:szCs w:val="28"/>
          <w:highlight w:val="none"/>
          <w:u w:val="single"/>
        </w:rPr>
        <w:t xml:space="preserve">      </w:t>
      </w:r>
      <w:r>
        <w:rPr>
          <w:rFonts w:hint="eastAsia" w:ascii="宋体" w:hAnsi="宋体" w:cs="宋体"/>
          <w:sz w:val="28"/>
          <w:szCs w:val="28"/>
          <w:highlight w:val="none"/>
        </w:rPr>
        <w:t>职务：</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p>
    <w:p>
      <w:pPr>
        <w:spacing w:line="288" w:lineRule="auto"/>
        <w:ind w:firstLine="610"/>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288" w:lineRule="auto"/>
        <w:ind w:firstLine="610"/>
        <w:rPr>
          <w:rFonts w:ascii="宋体" w:hAnsi="宋体" w:cs="宋体"/>
          <w:sz w:val="28"/>
          <w:szCs w:val="28"/>
          <w:highlight w:val="none"/>
        </w:rPr>
      </w:pPr>
      <w:r>
        <w:rPr>
          <w:rFonts w:hint="eastAsia" w:ascii="宋体" w:hAnsi="宋体" w:cs="宋体"/>
          <w:sz w:val="28"/>
          <w:szCs w:val="28"/>
          <w:highlight w:val="none"/>
        </w:rPr>
        <w:t>系</w:t>
      </w:r>
      <w:r>
        <w:rPr>
          <w:rFonts w:hint="eastAsia" w:ascii="宋体" w:hAnsi="宋体" w:cs="宋体"/>
          <w:sz w:val="28"/>
          <w:szCs w:val="28"/>
          <w:highlight w:val="none"/>
          <w:u w:val="single"/>
        </w:rPr>
        <w:t xml:space="preserve">          （供应商单位名称）         </w:t>
      </w:r>
      <w:r>
        <w:rPr>
          <w:rFonts w:hint="eastAsia" w:ascii="宋体" w:hAnsi="宋体" w:cs="宋体"/>
          <w:sz w:val="28"/>
          <w:szCs w:val="28"/>
          <w:highlight w:val="none"/>
        </w:rPr>
        <w:t>的法定代表人。</w:t>
      </w:r>
    </w:p>
    <w:p>
      <w:pPr>
        <w:spacing w:line="288" w:lineRule="auto"/>
        <w:ind w:firstLine="610"/>
        <w:rPr>
          <w:rFonts w:ascii="宋体" w:hAnsi="宋体" w:cs="宋体"/>
          <w:sz w:val="28"/>
          <w:szCs w:val="28"/>
          <w:highlight w:val="none"/>
        </w:rPr>
      </w:pPr>
    </w:p>
    <w:p>
      <w:pPr>
        <w:spacing w:line="288" w:lineRule="auto"/>
        <w:ind w:firstLine="610"/>
        <w:rPr>
          <w:rFonts w:ascii="宋体" w:hAnsi="宋体" w:cs="宋体"/>
          <w:sz w:val="28"/>
          <w:szCs w:val="28"/>
          <w:highlight w:val="none"/>
        </w:rPr>
      </w:pPr>
      <w:r>
        <w:rPr>
          <w:rFonts w:hint="eastAsia" w:ascii="宋体" w:hAnsi="宋体" w:cs="宋体"/>
          <w:sz w:val="28"/>
          <w:szCs w:val="28"/>
          <w:highlight w:val="none"/>
        </w:rPr>
        <w:t>特此证明。</w:t>
      </w:r>
    </w:p>
    <w:p>
      <w:pPr>
        <w:tabs>
          <w:tab w:val="left" w:pos="720"/>
          <w:tab w:val="left" w:pos="900"/>
        </w:tabs>
        <w:spacing w:line="288" w:lineRule="auto"/>
        <w:ind w:firstLine="420" w:firstLineChars="200"/>
        <w:rPr>
          <w:rFonts w:ascii="宋体" w:hAnsi="宋体" w:cs="宋体"/>
          <w:sz w:val="21"/>
          <w:szCs w:val="21"/>
          <w:highlight w:val="none"/>
        </w:rPr>
      </w:pPr>
    </w:p>
    <w:p>
      <w:pPr>
        <w:tabs>
          <w:tab w:val="left" w:pos="720"/>
          <w:tab w:val="left" w:pos="900"/>
        </w:tabs>
        <w:spacing w:line="288" w:lineRule="auto"/>
        <w:ind w:firstLine="5320" w:firstLineChars="1900"/>
        <w:rPr>
          <w:rFonts w:ascii="宋体" w:hAnsi="宋体" w:cs="宋体"/>
          <w:sz w:val="28"/>
          <w:szCs w:val="28"/>
          <w:highlight w:val="none"/>
        </w:rPr>
      </w:pPr>
    </w:p>
    <w:p>
      <w:pPr>
        <w:tabs>
          <w:tab w:val="left" w:pos="720"/>
          <w:tab w:val="left" w:pos="900"/>
        </w:tabs>
        <w:spacing w:line="288" w:lineRule="auto"/>
        <w:ind w:firstLine="5320" w:firstLineChars="1900"/>
        <w:rPr>
          <w:rFonts w:ascii="宋体" w:hAnsi="宋体" w:cs="宋体"/>
          <w:sz w:val="28"/>
          <w:szCs w:val="28"/>
          <w:highlight w:val="none"/>
        </w:rPr>
      </w:pPr>
    </w:p>
    <w:p>
      <w:pPr>
        <w:spacing w:line="288" w:lineRule="auto"/>
        <w:ind w:firstLine="2833" w:firstLineChars="1012"/>
        <w:rPr>
          <w:rFonts w:ascii="宋体" w:hAnsi="宋体" w:cs="宋体"/>
          <w:sz w:val="44"/>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44"/>
          <w:szCs w:val="28"/>
          <w:highlight w:val="none"/>
        </w:rPr>
        <w:t>（盖章）</w:t>
      </w:r>
    </w:p>
    <w:p>
      <w:pPr>
        <w:spacing w:line="288" w:lineRule="auto"/>
        <w:ind w:firstLine="2833" w:firstLineChars="1012"/>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288" w:lineRule="auto"/>
        <w:ind w:firstLine="2833" w:firstLineChars="1012"/>
        <w:jc w:val="both"/>
        <w:rPr>
          <w:rFonts w:ascii="宋体" w:hAnsi="宋体" w:cs="宋体"/>
          <w:sz w:val="28"/>
          <w:szCs w:val="28"/>
          <w:highlight w:val="none"/>
        </w:rPr>
      </w:pPr>
    </w:p>
    <w:p>
      <w:pPr>
        <w:spacing w:line="288" w:lineRule="auto"/>
        <w:rPr>
          <w:rFonts w:ascii="宋体" w:hAnsi="宋体" w:cs="宋体"/>
          <w:b/>
          <w:bCs/>
          <w:sz w:val="28"/>
          <w:szCs w:val="28"/>
          <w:highlight w:val="none"/>
        </w:rPr>
      </w:pPr>
      <w:r>
        <w:rPr>
          <w:rFonts w:hint="eastAsia" w:ascii="宋体" w:hAnsi="宋体" w:cs="宋体"/>
          <w:b/>
          <w:sz w:val="28"/>
          <w:szCs w:val="28"/>
          <w:highlight w:val="none"/>
        </w:rPr>
        <w:t>（附法定代表人身份证原件扫描件）</w:t>
      </w:r>
    </w:p>
    <w:p>
      <w:pPr>
        <w:bidi w:val="0"/>
        <w:jc w:val="center"/>
        <w:rPr>
          <w:b w:val="0"/>
          <w:bCs/>
        </w:rPr>
      </w:pPr>
      <w:bookmarkStart w:id="151" w:name="_Toc219959166"/>
      <w:bookmarkStart w:id="152" w:name="_Toc194989310"/>
      <w:bookmarkStart w:id="153" w:name="_Toc215404497"/>
      <w:bookmarkStart w:id="154" w:name="_Toc125530885"/>
      <w:r>
        <w:rPr>
          <w:rFonts w:hint="eastAsia" w:ascii="宋体" w:hAnsi="宋体" w:eastAsia="宋体" w:cs="宋体"/>
          <w:sz w:val="24"/>
          <w:szCs w:val="24"/>
          <w:highlight w:val="none"/>
        </w:rPr>
        <w:br w:type="page"/>
      </w:r>
      <w:bookmarkStart w:id="155" w:name="_Toc25824"/>
      <w:r>
        <w:rPr>
          <w:rFonts w:hint="eastAsia" w:ascii="方正黑体_GBK" w:hAnsi="方正黑体_GBK" w:eastAsia="方正黑体_GBK" w:cs="方正黑体_GBK"/>
          <w:b w:val="0"/>
          <w:bCs/>
        </w:rPr>
        <w:t>三、法定代表人授权委托书</w:t>
      </w:r>
      <w:bookmarkEnd w:id="151"/>
      <w:bookmarkEnd w:id="152"/>
      <w:bookmarkEnd w:id="153"/>
      <w:bookmarkEnd w:id="154"/>
      <w:bookmarkEnd w:id="155"/>
    </w:p>
    <w:p>
      <w:pPr>
        <w:spacing w:after="156" w:line="288" w:lineRule="auto"/>
        <w:jc w:val="both"/>
        <w:rPr>
          <w:rFonts w:ascii="宋体" w:hAnsi="宋体" w:cs="宋体"/>
          <w:b/>
          <w:sz w:val="21"/>
          <w:szCs w:val="21"/>
          <w:highlight w:val="none"/>
        </w:rPr>
      </w:pPr>
    </w:p>
    <w:p>
      <w:pPr>
        <w:spacing w:line="288" w:lineRule="auto"/>
        <w:ind w:firstLine="560" w:firstLineChars="200"/>
        <w:jc w:val="both"/>
        <w:rPr>
          <w:rFonts w:ascii="宋体" w:hAnsi="宋体" w:cs="宋体"/>
          <w:sz w:val="28"/>
          <w:szCs w:val="28"/>
          <w:highlight w:val="none"/>
        </w:rPr>
      </w:pPr>
      <w:r>
        <w:rPr>
          <w:rFonts w:hint="eastAsia" w:ascii="宋体" w:hAnsi="宋体" w:cs="宋体"/>
          <w:sz w:val="28"/>
          <w:szCs w:val="28"/>
          <w:highlight w:val="none"/>
        </w:rPr>
        <w:t>本授权委托书声明：我</w:t>
      </w:r>
      <w:r>
        <w:rPr>
          <w:rFonts w:hint="eastAsia" w:ascii="宋体" w:hAnsi="宋体" w:cs="宋体"/>
          <w:sz w:val="28"/>
          <w:szCs w:val="28"/>
          <w:highlight w:val="none"/>
          <w:u w:val="single"/>
        </w:rPr>
        <w:t xml:space="preserve">             </w:t>
      </w:r>
      <w:r>
        <w:rPr>
          <w:rFonts w:hint="eastAsia" w:ascii="宋体" w:hAnsi="宋体" w:cs="宋体"/>
          <w:sz w:val="28"/>
          <w:szCs w:val="28"/>
          <w:highlight w:val="none"/>
        </w:rPr>
        <w:t>（姓名）系</w:t>
      </w:r>
      <w:r>
        <w:rPr>
          <w:rFonts w:hint="eastAsia" w:ascii="宋体" w:hAnsi="宋体" w:cs="宋体"/>
          <w:sz w:val="28"/>
          <w:szCs w:val="28"/>
          <w:highlight w:val="none"/>
          <w:u w:val="single"/>
        </w:rPr>
        <w:t xml:space="preserve">                    （供应商名称）</w:t>
      </w:r>
      <w:r>
        <w:rPr>
          <w:rFonts w:hint="eastAsia" w:ascii="宋体" w:hAnsi="宋体" w:cs="宋体"/>
          <w:sz w:val="28"/>
          <w:szCs w:val="28"/>
          <w:highlight w:val="none"/>
        </w:rPr>
        <w:t>的法定代表人，现授权委托</w:t>
      </w:r>
      <w:r>
        <w:rPr>
          <w:rFonts w:hint="eastAsia" w:ascii="宋体" w:hAnsi="宋体" w:cs="宋体"/>
          <w:sz w:val="28"/>
          <w:szCs w:val="28"/>
          <w:highlight w:val="none"/>
          <w:u w:val="single"/>
        </w:rPr>
        <w:t xml:space="preserve">      （单 位 名 称）     </w:t>
      </w:r>
      <w:r>
        <w:rPr>
          <w:rFonts w:hint="eastAsia" w:ascii="宋体" w:hAnsi="宋体" w:cs="宋体"/>
          <w:sz w:val="28"/>
          <w:szCs w:val="28"/>
          <w:highlight w:val="none"/>
        </w:rPr>
        <w:t>的</w:t>
      </w:r>
      <w:r>
        <w:rPr>
          <w:rFonts w:hint="eastAsia" w:ascii="宋体" w:hAnsi="宋体" w:cs="宋体"/>
          <w:sz w:val="28"/>
          <w:szCs w:val="28"/>
          <w:highlight w:val="none"/>
          <w:u w:val="single"/>
        </w:rPr>
        <w:t xml:space="preserve">    （姓名）    </w:t>
      </w:r>
      <w:r>
        <w:rPr>
          <w:rFonts w:hint="eastAsia" w:ascii="宋体" w:hAnsi="宋体" w:cs="宋体"/>
          <w:sz w:val="28"/>
          <w:szCs w:val="28"/>
          <w:highlight w:val="none"/>
        </w:rPr>
        <w:t>为我公司签署本项目的报价文件的法定代表人授权委托代理人，我承认代理人全权代表我所签署的本项目的报价文件的内容。</w:t>
      </w:r>
    </w:p>
    <w:p>
      <w:pPr>
        <w:spacing w:line="288" w:lineRule="auto"/>
        <w:ind w:firstLine="697"/>
        <w:jc w:val="both"/>
        <w:rPr>
          <w:rFonts w:ascii="宋体" w:hAnsi="宋体" w:cs="宋体"/>
          <w:sz w:val="28"/>
          <w:szCs w:val="28"/>
          <w:highlight w:val="none"/>
        </w:rPr>
      </w:pPr>
    </w:p>
    <w:p>
      <w:pPr>
        <w:spacing w:line="288" w:lineRule="auto"/>
        <w:ind w:firstLine="697"/>
        <w:jc w:val="both"/>
        <w:rPr>
          <w:rFonts w:ascii="宋体" w:hAnsi="宋体" w:cs="宋体"/>
          <w:sz w:val="28"/>
          <w:szCs w:val="28"/>
          <w:highlight w:val="none"/>
        </w:rPr>
      </w:pPr>
      <w:r>
        <w:rPr>
          <w:rFonts w:hint="eastAsia" w:ascii="宋体" w:hAnsi="宋体" w:cs="宋体"/>
          <w:sz w:val="28"/>
          <w:szCs w:val="28"/>
          <w:highlight w:val="none"/>
        </w:rPr>
        <w:t>代理人无转委托权，特此委托。</w:t>
      </w:r>
    </w:p>
    <w:p>
      <w:pPr>
        <w:spacing w:line="288" w:lineRule="auto"/>
        <w:ind w:left="1260"/>
        <w:jc w:val="both"/>
        <w:rPr>
          <w:rFonts w:ascii="宋体" w:hAnsi="宋体" w:cs="宋体"/>
          <w:sz w:val="28"/>
          <w:szCs w:val="28"/>
          <w:highlight w:val="none"/>
        </w:rPr>
      </w:pPr>
    </w:p>
    <w:p>
      <w:pPr>
        <w:spacing w:line="288" w:lineRule="auto"/>
        <w:ind w:left="1260"/>
        <w:jc w:val="both"/>
        <w:rPr>
          <w:rFonts w:ascii="宋体" w:hAnsi="宋体" w:cs="宋体"/>
          <w:sz w:val="28"/>
          <w:szCs w:val="28"/>
          <w:highlight w:val="none"/>
        </w:rPr>
      </w:pPr>
    </w:p>
    <w:p>
      <w:pPr>
        <w:spacing w:line="288" w:lineRule="auto"/>
        <w:rPr>
          <w:rFonts w:ascii="宋体" w:hAnsi="宋体" w:cs="宋体"/>
          <w:sz w:val="28"/>
          <w:szCs w:val="28"/>
          <w:highlight w:val="none"/>
        </w:rPr>
      </w:pPr>
      <w:r>
        <w:rPr>
          <w:rFonts w:hint="eastAsia" w:ascii="宋体" w:hAnsi="宋体" w:cs="宋体"/>
          <w:sz w:val="28"/>
          <w:szCs w:val="28"/>
          <w:highlight w:val="none"/>
        </w:rPr>
        <w:t>供 应 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p>
    <w:p>
      <w:pPr>
        <w:spacing w:line="288" w:lineRule="auto"/>
        <w:ind w:right="-768" w:rightChars="-24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pPr>
        <w:spacing w:line="288" w:lineRule="auto"/>
        <w:ind w:right="-768" w:rightChars="-240"/>
        <w:rPr>
          <w:rFonts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联系电话：</w:t>
      </w:r>
      <w:r>
        <w:rPr>
          <w:rFonts w:hint="eastAsia" w:ascii="宋体" w:hAnsi="宋体" w:cs="宋体"/>
          <w:sz w:val="28"/>
          <w:szCs w:val="28"/>
          <w:highlight w:val="none"/>
          <w:u w:val="single"/>
        </w:rPr>
        <w:t xml:space="preserve">                              </w:t>
      </w:r>
    </w:p>
    <w:p>
      <w:pPr>
        <w:spacing w:line="288" w:lineRule="auto"/>
        <w:ind w:right="-768" w:rightChars="-240" w:firstLine="700" w:firstLineChars="250"/>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288" w:lineRule="auto"/>
        <w:ind w:left="1260"/>
        <w:jc w:val="both"/>
        <w:rPr>
          <w:rFonts w:ascii="宋体" w:hAnsi="宋体" w:cs="宋体"/>
          <w:sz w:val="28"/>
          <w:szCs w:val="28"/>
          <w:highlight w:val="none"/>
        </w:rPr>
      </w:pPr>
    </w:p>
    <w:p>
      <w:pPr>
        <w:spacing w:line="288" w:lineRule="auto"/>
        <w:rPr>
          <w:rFonts w:ascii="宋体" w:hAnsi="宋体" w:cs="宋体"/>
          <w:b/>
          <w:sz w:val="28"/>
          <w:szCs w:val="28"/>
          <w:highlight w:val="none"/>
        </w:rPr>
      </w:pPr>
      <w:r>
        <w:rPr>
          <w:rFonts w:hint="eastAsia" w:ascii="宋体" w:hAnsi="宋体" w:cs="宋体"/>
          <w:b/>
          <w:sz w:val="28"/>
          <w:szCs w:val="28"/>
          <w:highlight w:val="none"/>
        </w:rPr>
        <w:t>（附委托代理人身份证原件扫描件）</w:t>
      </w:r>
    </w:p>
    <w:p>
      <w:pPr>
        <w:spacing w:line="288" w:lineRule="auto"/>
        <w:jc w:val="center"/>
        <w:rPr>
          <w:rFonts w:ascii="宋体" w:hAnsi="宋体" w:cs="宋体"/>
          <w:sz w:val="28"/>
          <w:szCs w:val="28"/>
          <w:highlight w:val="none"/>
        </w:rPr>
        <w:sectPr>
          <w:headerReference r:id="rId3" w:type="default"/>
          <w:pgSz w:w="12240" w:h="15840"/>
          <w:pgMar w:top="1440" w:right="1800" w:bottom="1440" w:left="1800" w:header="0" w:footer="839" w:gutter="0"/>
          <w:pgNumType w:fmt="decimal"/>
          <w:cols w:space="708" w:num="1"/>
        </w:sectPr>
      </w:pPr>
      <w:bookmarkStart w:id="156" w:name="_Toc96951856"/>
      <w:bookmarkStart w:id="157" w:name="_Toc292465919"/>
      <w:bookmarkStart w:id="158" w:name="_Toc293070880"/>
      <w:bookmarkStart w:id="159" w:name="_Toc320281342"/>
      <w:bookmarkStart w:id="160" w:name="_Toc87151850"/>
      <w:bookmarkStart w:id="161" w:name="_Toc339928017"/>
      <w:bookmarkStart w:id="162" w:name="_Toc181678863"/>
      <w:bookmarkStart w:id="163" w:name="_Toc327483115"/>
    </w:p>
    <w:p>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四、商务条款偏离表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highlight w:val="none"/>
        </w:rPr>
      </w:pPr>
    </w:p>
    <w:bookmarkEnd w:id="156"/>
    <w:bookmarkEnd w:id="157"/>
    <w:bookmarkEnd w:id="158"/>
    <w:bookmarkEnd w:id="159"/>
    <w:bookmarkEnd w:id="160"/>
    <w:bookmarkEnd w:id="161"/>
    <w:bookmarkEnd w:id="162"/>
    <w:bookmarkEnd w:id="163"/>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lang w:eastAsia="zh-CN"/>
        </w:rPr>
        <w:t>一、</w:t>
      </w:r>
      <w:r>
        <w:rPr>
          <w:rFonts w:hint="eastAsia" w:ascii="宋体" w:hAnsi="宋体" w:cs="宋体"/>
          <w:sz w:val="28"/>
          <w:szCs w:val="28"/>
          <w:highlight w:val="none"/>
        </w:rPr>
        <w:t>供应商须逐条对应询价文件中要求的商务条款认证填写该表；</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lang w:eastAsia="zh-CN"/>
        </w:rPr>
        <w:t>二、</w:t>
      </w:r>
      <w:r>
        <w:rPr>
          <w:rFonts w:hint="eastAsia" w:ascii="宋体" w:hAnsi="宋体" w:cs="宋体"/>
          <w:sz w:val="28"/>
          <w:szCs w:val="28"/>
          <w:highlight w:val="none"/>
        </w:rPr>
        <w:t>商务条款是指：询价文件中</w:t>
      </w:r>
      <w:r>
        <w:rPr>
          <w:rFonts w:hint="eastAsia" w:ascii="宋体" w:hAnsi="宋体" w:cs="宋体"/>
          <w:sz w:val="28"/>
          <w:szCs w:val="28"/>
          <w:highlight w:val="none"/>
          <w:lang w:val="en-US" w:eastAsia="zh-CN"/>
        </w:rPr>
        <w:t>第四章“三、商务要求”</w:t>
      </w:r>
      <w:r>
        <w:rPr>
          <w:rFonts w:hint="eastAsia" w:ascii="宋体" w:hAnsi="宋体" w:cs="宋体"/>
          <w:sz w:val="28"/>
          <w:szCs w:val="28"/>
          <w:highlight w:val="none"/>
        </w:rPr>
        <w:t>要求的合同履行期限、质保期、付款方式、售后服务等要求。</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★未填写本表格的供应商将不能通过初步评审。</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A、</w:t>
      </w:r>
      <w:r>
        <w:rPr>
          <w:rFonts w:ascii="Wingdings" w:hAnsi="Wingdings" w:cs="宋体"/>
          <w:sz w:val="28"/>
          <w:szCs w:val="28"/>
          <w:highlight w:val="none"/>
        </w:rPr>
        <w:sym w:font="Wingdings" w:char="00A8"/>
      </w:r>
      <w:r>
        <w:rPr>
          <w:rFonts w:hint="eastAsia" w:ascii="宋体" w:hAnsi="宋体" w:cs="宋体"/>
          <w:sz w:val="28"/>
          <w:szCs w:val="28"/>
          <w:highlight w:val="none"/>
        </w:rPr>
        <w:t>我公司已详细阅读询价文件中项商务要求，所有商务要求均无偏离，成交后我公司将严格遵照执行。</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B、</w:t>
      </w:r>
      <w:r>
        <w:rPr>
          <w:rFonts w:ascii="Wingdings" w:hAnsi="Wingdings" w:cs="宋体"/>
          <w:sz w:val="28"/>
          <w:szCs w:val="28"/>
          <w:highlight w:val="none"/>
        </w:rPr>
        <w:t></w:t>
      </w:r>
      <w:r>
        <w:rPr>
          <w:rFonts w:hint="eastAsia" w:ascii="宋体" w:hAnsi="宋体" w:cs="宋体"/>
          <w:sz w:val="28"/>
          <w:szCs w:val="28"/>
          <w:highlight w:val="none"/>
        </w:rPr>
        <w:t>我公司已详细阅读询价文件中项商务要求，除下述条款有偏离外，其余条款我公司均予以认可，成交后将严格遵照执行。</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hint="default" w:ascii="宋体" w:hAnsi="宋体" w:cs="宋体"/>
          <w:sz w:val="28"/>
          <w:szCs w:val="28"/>
          <w:highlight w:val="none"/>
          <w:u w:val="single"/>
          <w:lang w:val="en-US" w:eastAsia="zh-CN"/>
        </w:rPr>
      </w:pPr>
      <w:r>
        <w:rPr>
          <w:rFonts w:hint="eastAsia" w:ascii="宋体" w:hAnsi="宋体" w:cs="宋体"/>
          <w:sz w:val="28"/>
          <w:szCs w:val="28"/>
          <w:highlight w:val="none"/>
        </w:rPr>
        <w:t>项目名称：</w:t>
      </w:r>
      <w:r>
        <w:rPr>
          <w:rFonts w:hint="eastAsia" w:ascii="宋体" w:hAnsi="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u w:val="single"/>
        </w:rPr>
      </w:pPr>
      <w:r>
        <w:rPr>
          <w:rFonts w:hint="eastAsia" w:ascii="宋体" w:hAnsi="宋体" w:cs="宋体"/>
          <w:sz w:val="28"/>
          <w:szCs w:val="28"/>
          <w:highlight w:val="none"/>
        </w:rPr>
        <w:t>项目编号：</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91"/>
        <w:gridCol w:w="2064"/>
        <w:gridCol w:w="1750"/>
        <w:gridCol w:w="108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4"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序号</w:t>
            </w:r>
          </w:p>
        </w:tc>
        <w:tc>
          <w:tcPr>
            <w:tcW w:w="2091"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询价文件页码及条款号</w:t>
            </w:r>
          </w:p>
        </w:tc>
        <w:tc>
          <w:tcPr>
            <w:tcW w:w="2064"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询价文件中的商务条款</w:t>
            </w:r>
          </w:p>
        </w:tc>
        <w:tc>
          <w:tcPr>
            <w:tcW w:w="1750"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报价文件中的商务条款</w:t>
            </w:r>
          </w:p>
        </w:tc>
        <w:tc>
          <w:tcPr>
            <w:tcW w:w="1082"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响应情况说明</w:t>
            </w:r>
          </w:p>
        </w:tc>
        <w:tc>
          <w:tcPr>
            <w:tcW w:w="1769" w:type="dxa"/>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商务条款支持资料索引（页码及条目号等）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4" w:type="dxa"/>
            <w:vAlign w:val="center"/>
          </w:tcPr>
          <w:p>
            <w:pPr>
              <w:spacing w:line="288" w:lineRule="auto"/>
              <w:jc w:val="center"/>
              <w:rPr>
                <w:rFonts w:hint="default" w:ascii="宋体" w:hAnsi="宋体" w:eastAsia="方正仿宋_GBK" w:cs="宋体"/>
                <w:sz w:val="18"/>
                <w:szCs w:val="18"/>
                <w:highlight w:val="none"/>
                <w:lang w:val="en-US" w:eastAsia="zh-CN"/>
              </w:rPr>
            </w:pPr>
            <w:r>
              <w:rPr>
                <w:rFonts w:hint="eastAsia" w:ascii="宋体" w:hAnsi="宋体" w:cs="宋体"/>
                <w:sz w:val="18"/>
                <w:szCs w:val="18"/>
                <w:highlight w:val="none"/>
                <w:lang w:val="en-US" w:eastAsia="zh-CN"/>
              </w:rPr>
              <w:t>1</w:t>
            </w:r>
          </w:p>
        </w:tc>
        <w:tc>
          <w:tcPr>
            <w:tcW w:w="2091" w:type="dxa"/>
            <w:vAlign w:val="center"/>
          </w:tcPr>
          <w:p>
            <w:pPr>
              <w:spacing w:line="288" w:lineRule="auto"/>
              <w:jc w:val="center"/>
              <w:rPr>
                <w:rFonts w:ascii="宋体" w:hAnsi="宋体" w:cs="宋体"/>
                <w:sz w:val="21"/>
                <w:szCs w:val="21"/>
                <w:highlight w:val="none"/>
              </w:rPr>
            </w:pPr>
          </w:p>
        </w:tc>
        <w:tc>
          <w:tcPr>
            <w:tcW w:w="2064" w:type="dxa"/>
            <w:vAlign w:val="center"/>
          </w:tcPr>
          <w:p>
            <w:pPr>
              <w:spacing w:line="288" w:lineRule="auto"/>
              <w:jc w:val="center"/>
              <w:rPr>
                <w:rFonts w:ascii="宋体" w:hAnsi="宋体" w:cs="宋体"/>
                <w:sz w:val="21"/>
                <w:szCs w:val="21"/>
                <w:highlight w:val="none"/>
              </w:rPr>
            </w:pPr>
          </w:p>
        </w:tc>
        <w:tc>
          <w:tcPr>
            <w:tcW w:w="1750" w:type="dxa"/>
            <w:vAlign w:val="center"/>
          </w:tcPr>
          <w:p>
            <w:pPr>
              <w:spacing w:line="288" w:lineRule="auto"/>
              <w:jc w:val="center"/>
              <w:rPr>
                <w:rFonts w:ascii="宋体" w:hAnsi="宋体" w:cs="宋体"/>
                <w:sz w:val="21"/>
                <w:szCs w:val="21"/>
                <w:highlight w:val="none"/>
              </w:rPr>
            </w:pPr>
          </w:p>
        </w:tc>
        <w:tc>
          <w:tcPr>
            <w:tcW w:w="1082" w:type="dxa"/>
            <w:vAlign w:val="center"/>
          </w:tcPr>
          <w:p>
            <w:pPr>
              <w:spacing w:line="288" w:lineRule="auto"/>
              <w:jc w:val="center"/>
              <w:rPr>
                <w:rFonts w:ascii="宋体" w:hAnsi="宋体" w:cs="宋体"/>
                <w:sz w:val="21"/>
                <w:szCs w:val="21"/>
                <w:highlight w:val="none"/>
              </w:rPr>
            </w:pPr>
          </w:p>
        </w:tc>
        <w:tc>
          <w:tcPr>
            <w:tcW w:w="1769" w:type="dxa"/>
            <w:vAlign w:val="center"/>
          </w:tcPr>
          <w:p>
            <w:pPr>
              <w:spacing w:line="288"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pPr>
              <w:spacing w:line="288" w:lineRule="auto"/>
              <w:jc w:val="center"/>
              <w:rPr>
                <w:rFonts w:hint="eastAsia" w:ascii="宋体" w:hAnsi="宋体" w:eastAsia="方正仿宋_GBK" w:cs="宋体"/>
                <w:sz w:val="18"/>
                <w:szCs w:val="18"/>
                <w:highlight w:val="none"/>
                <w:lang w:val="en-US" w:eastAsia="zh-CN"/>
              </w:rPr>
            </w:pPr>
            <w:r>
              <w:rPr>
                <w:rFonts w:hint="eastAsia" w:ascii="宋体" w:hAnsi="宋体" w:cs="宋体"/>
                <w:sz w:val="18"/>
                <w:szCs w:val="18"/>
                <w:highlight w:val="none"/>
                <w:lang w:val="en-US" w:eastAsia="zh-CN"/>
              </w:rPr>
              <w:t>2</w:t>
            </w:r>
          </w:p>
        </w:tc>
        <w:tc>
          <w:tcPr>
            <w:tcW w:w="2091" w:type="dxa"/>
            <w:vAlign w:val="center"/>
          </w:tcPr>
          <w:p>
            <w:pPr>
              <w:spacing w:line="288" w:lineRule="auto"/>
              <w:jc w:val="center"/>
              <w:rPr>
                <w:rFonts w:ascii="宋体" w:hAnsi="宋体" w:cs="宋体"/>
                <w:sz w:val="21"/>
                <w:szCs w:val="21"/>
                <w:highlight w:val="none"/>
              </w:rPr>
            </w:pPr>
          </w:p>
        </w:tc>
        <w:tc>
          <w:tcPr>
            <w:tcW w:w="2064" w:type="dxa"/>
            <w:vAlign w:val="center"/>
          </w:tcPr>
          <w:p>
            <w:pPr>
              <w:spacing w:line="288" w:lineRule="auto"/>
              <w:jc w:val="center"/>
              <w:rPr>
                <w:rFonts w:ascii="宋体" w:hAnsi="宋体" w:cs="宋体"/>
                <w:sz w:val="21"/>
                <w:szCs w:val="21"/>
                <w:highlight w:val="none"/>
              </w:rPr>
            </w:pPr>
          </w:p>
        </w:tc>
        <w:tc>
          <w:tcPr>
            <w:tcW w:w="1750" w:type="dxa"/>
            <w:vAlign w:val="center"/>
          </w:tcPr>
          <w:p>
            <w:pPr>
              <w:spacing w:line="288" w:lineRule="auto"/>
              <w:jc w:val="center"/>
              <w:rPr>
                <w:rFonts w:ascii="宋体" w:hAnsi="宋体" w:cs="宋体"/>
                <w:sz w:val="21"/>
                <w:szCs w:val="21"/>
                <w:highlight w:val="none"/>
              </w:rPr>
            </w:pPr>
          </w:p>
        </w:tc>
        <w:tc>
          <w:tcPr>
            <w:tcW w:w="1082" w:type="dxa"/>
            <w:vAlign w:val="center"/>
          </w:tcPr>
          <w:p>
            <w:pPr>
              <w:spacing w:line="288" w:lineRule="auto"/>
              <w:jc w:val="center"/>
              <w:rPr>
                <w:rFonts w:ascii="宋体" w:hAnsi="宋体" w:cs="宋体"/>
                <w:sz w:val="21"/>
                <w:szCs w:val="21"/>
                <w:highlight w:val="none"/>
              </w:rPr>
            </w:pPr>
          </w:p>
        </w:tc>
        <w:tc>
          <w:tcPr>
            <w:tcW w:w="1769" w:type="dxa"/>
            <w:vAlign w:val="center"/>
          </w:tcPr>
          <w:p>
            <w:pPr>
              <w:spacing w:line="288"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pPr>
              <w:spacing w:line="288" w:lineRule="auto"/>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w:t>
            </w:r>
          </w:p>
        </w:tc>
        <w:tc>
          <w:tcPr>
            <w:tcW w:w="2091" w:type="dxa"/>
            <w:vAlign w:val="center"/>
          </w:tcPr>
          <w:p>
            <w:pPr>
              <w:spacing w:line="288" w:lineRule="auto"/>
              <w:jc w:val="center"/>
              <w:rPr>
                <w:rFonts w:ascii="宋体" w:hAnsi="宋体" w:cs="宋体"/>
                <w:sz w:val="21"/>
                <w:szCs w:val="21"/>
                <w:highlight w:val="none"/>
              </w:rPr>
            </w:pPr>
          </w:p>
        </w:tc>
        <w:tc>
          <w:tcPr>
            <w:tcW w:w="2064" w:type="dxa"/>
            <w:vAlign w:val="center"/>
          </w:tcPr>
          <w:p>
            <w:pPr>
              <w:spacing w:line="288" w:lineRule="auto"/>
              <w:jc w:val="center"/>
              <w:rPr>
                <w:rFonts w:ascii="宋体" w:hAnsi="宋体" w:cs="宋体"/>
                <w:sz w:val="21"/>
                <w:szCs w:val="21"/>
                <w:highlight w:val="none"/>
              </w:rPr>
            </w:pPr>
          </w:p>
        </w:tc>
        <w:tc>
          <w:tcPr>
            <w:tcW w:w="1750" w:type="dxa"/>
            <w:vAlign w:val="center"/>
          </w:tcPr>
          <w:p>
            <w:pPr>
              <w:spacing w:line="288" w:lineRule="auto"/>
              <w:jc w:val="center"/>
              <w:rPr>
                <w:rFonts w:ascii="宋体" w:hAnsi="宋体" w:cs="宋体"/>
                <w:sz w:val="21"/>
                <w:szCs w:val="21"/>
                <w:highlight w:val="none"/>
              </w:rPr>
            </w:pPr>
          </w:p>
        </w:tc>
        <w:tc>
          <w:tcPr>
            <w:tcW w:w="1082" w:type="dxa"/>
            <w:vAlign w:val="center"/>
          </w:tcPr>
          <w:p>
            <w:pPr>
              <w:spacing w:line="288" w:lineRule="auto"/>
              <w:jc w:val="center"/>
              <w:rPr>
                <w:rFonts w:ascii="宋体" w:hAnsi="宋体" w:cs="宋体"/>
                <w:sz w:val="21"/>
                <w:szCs w:val="21"/>
                <w:highlight w:val="none"/>
              </w:rPr>
            </w:pPr>
          </w:p>
        </w:tc>
        <w:tc>
          <w:tcPr>
            <w:tcW w:w="1769" w:type="dxa"/>
            <w:vAlign w:val="center"/>
          </w:tcPr>
          <w:p>
            <w:pPr>
              <w:spacing w:line="288" w:lineRule="auto"/>
              <w:jc w:val="center"/>
              <w:rPr>
                <w:rFonts w:ascii="宋体" w:hAnsi="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表格填写说明：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cs="宋体"/>
          <w:sz w:val="28"/>
          <w:szCs w:val="28"/>
          <w:highlight w:val="none"/>
        </w:rPr>
      </w:pPr>
      <w:r>
        <w:rPr>
          <w:rFonts w:hint="eastAsia" w:ascii="宋体" w:hAnsi="宋体" w:cs="宋体"/>
          <w:sz w:val="28"/>
          <w:szCs w:val="28"/>
          <w:highlight w:val="none"/>
        </w:rPr>
        <w:t>供应商根据应根据实际情况，填写本表格，若无偏离，则勾选A项，签字盖章即可。若有偏离，则勾选B项，按表格要求及实际情况填写后，签字盖章。</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表格中</w:t>
      </w:r>
      <w:r>
        <w:rPr>
          <w:rFonts w:hint="eastAsia" w:ascii="宋体" w:hAnsi="宋体" w:cs="宋体"/>
          <w:sz w:val="28"/>
          <w:szCs w:val="28"/>
          <w:highlight w:val="none"/>
          <w:lang w:eastAsia="zh-CN"/>
        </w:rPr>
        <w:t>“</w:t>
      </w:r>
      <w:r>
        <w:rPr>
          <w:rFonts w:hint="eastAsia" w:ascii="宋体" w:hAnsi="宋体" w:cs="宋体"/>
          <w:sz w:val="28"/>
          <w:szCs w:val="28"/>
          <w:highlight w:val="none"/>
        </w:rPr>
        <w:t>报价文件的商务条款要求</w:t>
      </w:r>
      <w:r>
        <w:rPr>
          <w:rFonts w:hint="eastAsia" w:ascii="宋体" w:hAnsi="宋体" w:cs="宋体"/>
          <w:sz w:val="28"/>
          <w:szCs w:val="28"/>
          <w:highlight w:val="none"/>
          <w:lang w:eastAsia="zh-CN"/>
        </w:rPr>
        <w:t>”</w:t>
      </w:r>
      <w:r>
        <w:rPr>
          <w:rFonts w:hint="eastAsia" w:ascii="宋体" w:hAnsi="宋体" w:cs="宋体"/>
          <w:sz w:val="28"/>
          <w:szCs w:val="28"/>
          <w:highlight w:val="none"/>
        </w:rPr>
        <w:t>在填写时应注明该条款在报价文件中的页码及条款号。</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表格中</w:t>
      </w:r>
      <w:r>
        <w:rPr>
          <w:rFonts w:hint="eastAsia" w:ascii="宋体" w:hAnsi="宋体" w:cs="宋体"/>
          <w:sz w:val="28"/>
          <w:szCs w:val="28"/>
          <w:highlight w:val="none"/>
          <w:lang w:eastAsia="zh-CN"/>
        </w:rPr>
        <w:t>“</w:t>
      </w:r>
      <w:r>
        <w:rPr>
          <w:rFonts w:hint="eastAsia" w:ascii="宋体" w:hAnsi="宋体" w:cs="宋体"/>
          <w:sz w:val="28"/>
          <w:szCs w:val="28"/>
          <w:highlight w:val="none"/>
        </w:rPr>
        <w:t>报价文件的商务条款</w:t>
      </w:r>
      <w:r>
        <w:rPr>
          <w:rFonts w:hint="eastAsia" w:ascii="宋体" w:hAnsi="宋体" w:cs="宋体"/>
          <w:sz w:val="28"/>
          <w:szCs w:val="28"/>
          <w:highlight w:val="none"/>
          <w:lang w:eastAsia="zh-CN"/>
        </w:rPr>
        <w:t>”</w:t>
      </w:r>
      <w:r>
        <w:rPr>
          <w:rFonts w:hint="eastAsia" w:ascii="宋体" w:hAnsi="宋体" w:cs="宋体"/>
          <w:sz w:val="28"/>
          <w:szCs w:val="28"/>
          <w:highlight w:val="none"/>
        </w:rPr>
        <w:t>请根据实际响应情况如实、完整、准确的填写。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本表格中内容与报价文件其余</w:t>
      </w:r>
      <w:r>
        <w:rPr>
          <w:rFonts w:hint="eastAsia" w:ascii="宋体" w:hAnsi="宋体" w:cs="宋体"/>
          <w:sz w:val="28"/>
          <w:szCs w:val="28"/>
          <w:highlight w:val="none"/>
          <w:lang w:eastAsia="zh-CN"/>
        </w:rPr>
        <w:t>部份</w:t>
      </w:r>
      <w:r>
        <w:rPr>
          <w:rFonts w:hint="eastAsia" w:ascii="宋体" w:hAnsi="宋体" w:cs="宋体"/>
          <w:sz w:val="28"/>
          <w:szCs w:val="28"/>
          <w:highlight w:val="none"/>
        </w:rPr>
        <w:t>不一致的，以不利于供应商的位置为准。</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ascii="宋体" w:hAnsi="宋体" w:cs="宋体"/>
          <w:bCs/>
          <w:sz w:val="28"/>
          <w:szCs w:val="28"/>
          <w:highlight w:val="none"/>
          <w:u w:val="single"/>
        </w:rPr>
      </w:pPr>
      <w:bookmarkStart w:id="164" w:name="_Toc2934700"/>
      <w:r>
        <w:rPr>
          <w:rFonts w:hint="eastAsia" w:ascii="宋体" w:hAnsi="宋体" w:cs="宋体"/>
          <w:bCs/>
          <w:sz w:val="28"/>
          <w:szCs w:val="28"/>
          <w:highlight w:val="none"/>
        </w:rPr>
        <w:t>供应商名称：</w:t>
      </w:r>
      <w:r>
        <w:rPr>
          <w:rFonts w:hint="eastAsia" w:ascii="宋体" w:hAnsi="宋体" w:cs="宋体"/>
          <w:bCs/>
          <w:sz w:val="28"/>
          <w:szCs w:val="28"/>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ascii="宋体" w:hAnsi="宋体" w:cs="宋体"/>
          <w:bCs/>
          <w:sz w:val="28"/>
          <w:szCs w:val="28"/>
          <w:highlight w:val="none"/>
          <w:u w:val="single"/>
        </w:rPr>
      </w:pPr>
      <w:r>
        <w:rPr>
          <w:rFonts w:hint="eastAsia" w:ascii="宋体" w:hAnsi="宋体" w:cs="宋体"/>
          <w:bCs/>
          <w:sz w:val="28"/>
          <w:szCs w:val="28"/>
          <w:highlight w:val="none"/>
        </w:rPr>
        <w:t>法定代表人或其委托代理人：</w:t>
      </w:r>
      <w:r>
        <w:rPr>
          <w:rFonts w:hint="eastAsia" w:ascii="宋体" w:hAnsi="宋体" w:cs="宋体"/>
          <w:bCs/>
          <w:sz w:val="28"/>
          <w:szCs w:val="28"/>
          <w:highlight w:val="none"/>
          <w:u w:val="single"/>
        </w:rPr>
        <w:t xml:space="preserve">           （签字或盖章）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jc w:val="right"/>
        <w:textAlignment w:val="auto"/>
        <w:rPr>
          <w:rFonts w:ascii="宋体" w:hAnsi="宋体" w:eastAsia="宋体" w:cs="宋体"/>
          <w:sz w:val="28"/>
          <w:szCs w:val="28"/>
          <w:highlight w:val="none"/>
        </w:rPr>
        <w:sectPr>
          <w:pgSz w:w="12240" w:h="15840"/>
          <w:pgMar w:top="1440" w:right="1800" w:bottom="1440" w:left="1800" w:header="0" w:footer="839" w:gutter="0"/>
          <w:pgNumType w:fmt="decimal"/>
          <w:cols w:space="708" w:num="1"/>
        </w:sect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bookmarkEnd w:id="164"/>
    </w:p>
    <w:p>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五、附件：大理州第二人民医院2025年度部份高效液相色谱试剂耗材采购项目（二次）报价清单</w:t>
      </w:r>
    </w:p>
    <w:tbl>
      <w:tblPr>
        <w:tblStyle w:val="16"/>
        <w:tblW w:w="14975" w:type="dxa"/>
        <w:tblInd w:w="-1109" w:type="dxa"/>
        <w:shd w:val="clear" w:color="auto" w:fill="auto"/>
        <w:tblLayout w:type="fixed"/>
        <w:tblCellMar>
          <w:top w:w="0" w:type="dxa"/>
          <w:left w:w="108" w:type="dxa"/>
          <w:bottom w:w="0" w:type="dxa"/>
          <w:right w:w="108" w:type="dxa"/>
        </w:tblCellMar>
      </w:tblPr>
      <w:tblGrid>
        <w:gridCol w:w="495"/>
        <w:gridCol w:w="1761"/>
        <w:gridCol w:w="1260"/>
        <w:gridCol w:w="1332"/>
        <w:gridCol w:w="684"/>
        <w:gridCol w:w="1104"/>
        <w:gridCol w:w="1332"/>
        <w:gridCol w:w="1032"/>
        <w:gridCol w:w="684"/>
        <w:gridCol w:w="1224"/>
        <w:gridCol w:w="1320"/>
        <w:gridCol w:w="1356"/>
        <w:gridCol w:w="1391"/>
      </w:tblGrid>
      <w:tr>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预计使用量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供货价（元）</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总容量/(瓶、袋)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供货单价（元/瓶、袋）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供货总价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tblPrEx>
          <w:shd w:val="clear" w:color="auto" w:fill="auto"/>
          <w:tblCellMar>
            <w:top w:w="0" w:type="dxa"/>
            <w:left w:w="108" w:type="dxa"/>
            <w:bottom w:w="0" w:type="dxa"/>
            <w:right w:w="108"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250ul/支，带支架</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250ul/支,5*30mm/支</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10ul/个</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200ul/个</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1000ul/个</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圆底离心管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尖底离心管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tblPrEx>
          <w:shd w:val="clear" w:color="auto" w:fill="auto"/>
          <w:tblCellMar>
            <w:top w:w="0" w:type="dxa"/>
            <w:left w:w="108" w:type="dxa"/>
            <w:bottom w:w="0" w:type="dxa"/>
            <w:right w:w="108" w:type="dxa"/>
          </w:tblCellMar>
        </w:tblPrEx>
        <w:trPr>
          <w:trHeight w:val="364" w:hRule="atLeast"/>
        </w:trPr>
        <w:tc>
          <w:tcPr>
            <w:tcW w:w="4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1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r>
      <w:tr>
        <w:tblPrEx>
          <w:shd w:val="clear" w:color="auto" w:fill="auto"/>
          <w:tblCellMar>
            <w:top w:w="0" w:type="dxa"/>
            <w:left w:w="108" w:type="dxa"/>
            <w:bottom w:w="0" w:type="dxa"/>
            <w:right w:w="108" w:type="dxa"/>
          </w:tblCellMar>
        </w:tblPrEx>
        <w:trPr>
          <w:trHeight w:val="462" w:hRule="atLeast"/>
        </w:trPr>
        <w:tc>
          <w:tcPr>
            <w:tcW w:w="12228" w:type="dxa"/>
            <w:gridSpan w:val="11"/>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合计金额（元）</w:t>
            </w:r>
          </w:p>
        </w:tc>
        <w:tc>
          <w:tcPr>
            <w:tcW w:w="13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c>
          <w:tcPr>
            <w:tcW w:w="139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1325" w:hRule="atLeast"/>
        </w:trPr>
        <w:tc>
          <w:tcPr>
            <w:tcW w:w="14975" w:type="dxa"/>
            <w:gridSpan w:val="1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FF0000"/>
                <w:kern w:val="0"/>
                <w:sz w:val="28"/>
                <w:szCs w:val="28"/>
                <w:u w:val="none"/>
                <w:lang w:val="en-US" w:eastAsia="zh-CN" w:bidi="ar"/>
              </w:rPr>
            </w:pPr>
            <w:r>
              <w:rPr>
                <w:rFonts w:hint="eastAsia" w:ascii="方正仿宋_GBK" w:hAnsi="方正仿宋_GBK" w:eastAsia="方正仿宋_GBK" w:cs="方正仿宋_GBK"/>
                <w:i w:val="0"/>
                <w:iCs w:val="0"/>
                <w:color w:val="FF0000"/>
                <w:kern w:val="0"/>
                <w:sz w:val="28"/>
                <w:szCs w:val="28"/>
                <w:u w:val="none"/>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①</w:t>
            </w:r>
            <w:r>
              <w:rPr>
                <w:rStyle w:val="38"/>
                <w:rFonts w:hint="eastAsia" w:ascii="方正仿宋_GBK" w:hAnsi="方正仿宋_GBK" w:eastAsia="方正仿宋_GBK" w:cs="方正仿宋_GBK"/>
                <w:sz w:val="28"/>
                <w:szCs w:val="28"/>
                <w:lang w:val="en-US" w:eastAsia="zh-CN" w:bidi="ar"/>
              </w:rPr>
              <w:t>供货商须按照此表填写报价，填写每种产品的规格、生产厂家、供货价、总容量的内容，供货总价直接由公式带出。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②</w:t>
            </w:r>
            <w:r>
              <w:rPr>
                <w:rStyle w:val="38"/>
                <w:rFonts w:hint="eastAsia" w:ascii="方正仿宋_GBK" w:hAnsi="方正仿宋_GBK" w:eastAsia="方正仿宋_GBK" w:cs="方正仿宋_GBK"/>
                <w:sz w:val="28"/>
                <w:szCs w:val="28"/>
                <w:lang w:val="en-US" w:eastAsia="zh-CN" w:bidi="ar"/>
              </w:rPr>
              <w:t>供货价为供货商可以供货的价格，每种产品的供货价不得超过预算价格，超过预算价格则投标无效，且供货价仅有一次报价机会，请供货商一次性核算好供货价。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③</w:t>
            </w:r>
            <w:r>
              <w:rPr>
                <w:rStyle w:val="38"/>
                <w:rFonts w:hint="eastAsia" w:ascii="方正仿宋_GBK" w:hAnsi="方正仿宋_GBK" w:eastAsia="方正仿宋_GBK" w:cs="方正仿宋_GBK"/>
                <w:sz w:val="28"/>
                <w:szCs w:val="28"/>
                <w:lang w:val="en-US" w:eastAsia="zh-CN" w:bidi="ar"/>
              </w:rPr>
              <w:t>总容量计算方式为：例如乙腈（HPLC级）规格为4L/瓶，总容量=4L*1000=4000ml</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一次性塑料内插管规格为100支/袋，总容量=100*1=100支，如此类推。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④</w:t>
            </w:r>
            <w:r>
              <w:rPr>
                <w:rStyle w:val="38"/>
                <w:rFonts w:hint="eastAsia" w:ascii="方正仿宋_GBK" w:hAnsi="方正仿宋_GBK" w:eastAsia="方正仿宋_GBK" w:cs="方正仿宋_GBK"/>
                <w:sz w:val="28"/>
                <w:szCs w:val="28"/>
                <w:lang w:val="en-US" w:eastAsia="zh-CN" w:bidi="ar"/>
              </w:rPr>
              <w:t>供货单价由公式直接计算带出，计算公式为</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供货单价=总容量*供货价。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9"/>
                <w:rFonts w:hint="eastAsia" w:ascii="方正仿宋_GBK" w:hAnsi="方正仿宋_GBK" w:eastAsia="方正仿宋_GBK" w:cs="方正仿宋_GBK"/>
                <w:sz w:val="28"/>
                <w:szCs w:val="28"/>
                <w:lang w:val="en-US" w:eastAsia="zh-CN" w:bidi="ar"/>
              </w:rPr>
              <w:t>⑤</w:t>
            </w:r>
            <w:r>
              <w:rPr>
                <w:rStyle w:val="38"/>
                <w:rFonts w:hint="eastAsia" w:ascii="方正仿宋_GBK" w:hAnsi="方正仿宋_GBK" w:eastAsia="方正仿宋_GBK" w:cs="方正仿宋_GBK"/>
                <w:sz w:val="28"/>
                <w:szCs w:val="28"/>
                <w:lang w:val="en-US" w:eastAsia="zh-CN" w:bidi="ar"/>
              </w:rPr>
              <w:t>供货总价由公式直接计算带出，计算公式为</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供货总价=供货单价*预计使用量。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FF0000"/>
                <w:sz w:val="22"/>
                <w:szCs w:val="22"/>
                <w:u w:val="none"/>
                <w:lang w:val="en-US"/>
              </w:rPr>
            </w:pPr>
            <w:r>
              <w:rPr>
                <w:rStyle w:val="38"/>
                <w:rFonts w:hint="eastAsia" w:ascii="方正仿宋_GBK" w:hAnsi="方正仿宋_GBK" w:eastAsia="方正仿宋_GBK" w:cs="方正仿宋_GBK"/>
                <w:sz w:val="28"/>
                <w:szCs w:val="28"/>
                <w:lang w:val="en-US" w:eastAsia="zh-CN" w:bidi="ar"/>
              </w:rPr>
              <w:t>⑥最终以16种试剂耗材合计金额最低的为此次成交供应商，未报1项及以上则投标无效。合计金额由公式直接计算带出</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计算公式为</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合计金额=16种试剂耗材的供货总价之和。</w:t>
            </w:r>
          </w:p>
        </w:tc>
      </w:tr>
    </w:tbl>
    <w:p>
      <w:pPr>
        <w:pStyle w:val="2"/>
      </w:pPr>
    </w:p>
    <w:p>
      <w:pPr>
        <w:pStyle w:val="33"/>
        <w:spacing w:line="288" w:lineRule="auto"/>
        <w:ind w:left="0" w:right="-71" w:firstLine="0"/>
        <w:outlineLvl w:val="9"/>
        <w:rPr>
          <w:rFonts w:ascii="宋体" w:hAnsi="宋体" w:eastAsia="宋体" w:cs="宋体"/>
          <w:bCs w:val="0"/>
          <w:sz w:val="21"/>
          <w:szCs w:val="21"/>
          <w:highlight w:val="none"/>
        </w:rPr>
        <w:sectPr>
          <w:pgSz w:w="15840" w:h="12240" w:orient="landscape"/>
          <w:pgMar w:top="1440" w:right="1800" w:bottom="1440" w:left="1800" w:header="0" w:footer="839" w:gutter="0"/>
          <w:pgNumType w:fmt="decimal"/>
          <w:cols w:space="708" w:num="1"/>
        </w:sectPr>
      </w:pPr>
    </w:p>
    <w:p>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六</w:t>
      </w:r>
      <w:r>
        <w:rPr>
          <w:rFonts w:hint="eastAsia" w:ascii="方正黑体_GBK" w:hAnsi="方正黑体_GBK" w:eastAsia="方正黑体_GBK" w:cs="方正黑体_GBK"/>
        </w:rPr>
        <w:t>、资格审查资料</w:t>
      </w:r>
    </w:p>
    <w:p>
      <w:pPr>
        <w:pStyle w:val="2"/>
        <w:spacing w:line="288" w:lineRule="auto"/>
        <w:rPr>
          <w:rFonts w:ascii="宋体" w:hAnsi="宋体" w:cs="宋体"/>
          <w:b/>
          <w:sz w:val="15"/>
          <w:highlight w:val="none"/>
        </w:rPr>
      </w:pPr>
    </w:p>
    <w:p>
      <w:pPr>
        <w:pStyle w:val="34"/>
        <w:spacing w:line="288" w:lineRule="auto"/>
        <w:ind w:left="205" w:leftChars="64" w:firstLine="0"/>
        <w:jc w:val="center"/>
        <w:outlineLvl w:val="9"/>
        <w:rPr>
          <w:rFonts w:ascii="宋体" w:hAnsi="宋体" w:cs="宋体"/>
          <w:highlight w:val="none"/>
        </w:rPr>
      </w:pPr>
      <w:bookmarkStart w:id="165" w:name="_bookmark164"/>
      <w:bookmarkEnd w:id="165"/>
      <w:r>
        <w:rPr>
          <w:rFonts w:hint="eastAsia" w:ascii="宋体" w:hAnsi="宋体" w:cs="宋体"/>
          <w:highlight w:val="none"/>
        </w:rPr>
        <w:t>供应商基本情况表</w:t>
      </w:r>
    </w:p>
    <w:tbl>
      <w:tblPr>
        <w:tblStyle w:val="36"/>
        <w:tblW w:w="851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977"/>
        <w:gridCol w:w="2140"/>
        <w:gridCol w:w="1164"/>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pPr>
              <w:pStyle w:val="35"/>
              <w:spacing w:line="288" w:lineRule="auto"/>
              <w:ind w:left="123" w:right="111"/>
              <w:jc w:val="center"/>
              <w:rPr>
                <w:rFonts w:ascii="宋体" w:hAnsi="宋体" w:cs="宋体"/>
                <w:sz w:val="28"/>
                <w:szCs w:val="28"/>
                <w:highlight w:val="none"/>
              </w:rPr>
            </w:pPr>
            <w:r>
              <w:rPr>
                <w:rFonts w:hint="eastAsia" w:ascii="宋体" w:hAnsi="宋体" w:cs="宋体"/>
                <w:sz w:val="28"/>
                <w:szCs w:val="28"/>
                <w:highlight w:val="none"/>
              </w:rPr>
              <w:t>供应商名称</w:t>
            </w:r>
          </w:p>
        </w:tc>
        <w:tc>
          <w:tcPr>
            <w:tcW w:w="6445" w:type="dxa"/>
            <w:gridSpan w:val="4"/>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注册资金</w:t>
            </w:r>
          </w:p>
        </w:tc>
        <w:tc>
          <w:tcPr>
            <w:tcW w:w="3117" w:type="dxa"/>
            <w:gridSpan w:val="2"/>
            <w:vAlign w:val="center"/>
          </w:tcPr>
          <w:p>
            <w:pPr>
              <w:pStyle w:val="35"/>
              <w:spacing w:line="288" w:lineRule="auto"/>
              <w:jc w:val="center"/>
              <w:rPr>
                <w:rFonts w:ascii="宋体" w:hAnsi="宋体" w:cs="宋体"/>
                <w:sz w:val="28"/>
                <w:szCs w:val="28"/>
                <w:highlight w:val="none"/>
              </w:rPr>
            </w:pPr>
          </w:p>
        </w:tc>
        <w:tc>
          <w:tcPr>
            <w:tcW w:w="1164" w:type="dxa"/>
            <w:vAlign w:val="center"/>
          </w:tcPr>
          <w:p>
            <w:pPr>
              <w:pStyle w:val="35"/>
              <w:spacing w:line="288" w:lineRule="auto"/>
              <w:ind w:left="129" w:right="114"/>
              <w:jc w:val="center"/>
              <w:rPr>
                <w:rFonts w:hint="eastAsia" w:ascii="宋体" w:hAnsi="宋体" w:cs="宋体"/>
                <w:sz w:val="28"/>
                <w:szCs w:val="28"/>
                <w:highlight w:val="none"/>
              </w:rPr>
            </w:pPr>
            <w:r>
              <w:rPr>
                <w:rFonts w:hint="eastAsia" w:ascii="宋体" w:hAnsi="宋体" w:cs="宋体"/>
                <w:sz w:val="28"/>
                <w:szCs w:val="28"/>
                <w:highlight w:val="none"/>
              </w:rPr>
              <w:t>成立</w:t>
            </w:r>
          </w:p>
          <w:p>
            <w:pPr>
              <w:pStyle w:val="35"/>
              <w:spacing w:line="288" w:lineRule="auto"/>
              <w:ind w:left="129" w:right="114"/>
              <w:jc w:val="center"/>
              <w:rPr>
                <w:rFonts w:ascii="宋体" w:hAnsi="宋体" w:cs="宋体"/>
                <w:sz w:val="28"/>
                <w:szCs w:val="28"/>
                <w:highlight w:val="none"/>
              </w:rPr>
            </w:pPr>
            <w:r>
              <w:rPr>
                <w:rFonts w:hint="eastAsia" w:ascii="宋体" w:hAnsi="宋体" w:cs="宋体"/>
                <w:sz w:val="28"/>
                <w:szCs w:val="28"/>
                <w:highlight w:val="none"/>
              </w:rPr>
              <w:t>时间</w:t>
            </w:r>
          </w:p>
        </w:tc>
        <w:tc>
          <w:tcPr>
            <w:tcW w:w="2164" w:type="dxa"/>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注册地址</w:t>
            </w:r>
          </w:p>
        </w:tc>
        <w:tc>
          <w:tcPr>
            <w:tcW w:w="3117" w:type="dxa"/>
            <w:gridSpan w:val="2"/>
            <w:vAlign w:val="center"/>
          </w:tcPr>
          <w:p>
            <w:pPr>
              <w:pStyle w:val="35"/>
              <w:spacing w:line="288" w:lineRule="auto"/>
              <w:jc w:val="center"/>
              <w:rPr>
                <w:rFonts w:ascii="宋体" w:hAnsi="宋体" w:cs="宋体"/>
                <w:sz w:val="28"/>
                <w:szCs w:val="28"/>
                <w:highlight w:val="none"/>
              </w:rPr>
            </w:pPr>
          </w:p>
        </w:tc>
        <w:tc>
          <w:tcPr>
            <w:tcW w:w="1164" w:type="dxa"/>
            <w:vAlign w:val="center"/>
          </w:tcPr>
          <w:p>
            <w:pPr>
              <w:pStyle w:val="35"/>
              <w:spacing w:line="288" w:lineRule="auto"/>
              <w:ind w:left="129" w:right="114"/>
              <w:jc w:val="center"/>
              <w:rPr>
                <w:rFonts w:hint="eastAsia" w:ascii="宋体" w:hAnsi="宋体" w:cs="宋体"/>
                <w:sz w:val="28"/>
                <w:szCs w:val="28"/>
                <w:highlight w:val="none"/>
              </w:rPr>
            </w:pPr>
            <w:r>
              <w:rPr>
                <w:rFonts w:hint="eastAsia" w:ascii="宋体" w:hAnsi="宋体" w:cs="宋体"/>
                <w:sz w:val="28"/>
                <w:szCs w:val="28"/>
                <w:highlight w:val="none"/>
              </w:rPr>
              <w:t>邮政</w:t>
            </w:r>
          </w:p>
          <w:p>
            <w:pPr>
              <w:pStyle w:val="35"/>
              <w:spacing w:line="288" w:lineRule="auto"/>
              <w:ind w:left="129" w:right="114"/>
              <w:jc w:val="center"/>
              <w:rPr>
                <w:rFonts w:ascii="宋体" w:hAnsi="宋体" w:cs="宋体"/>
                <w:sz w:val="28"/>
                <w:szCs w:val="28"/>
                <w:highlight w:val="none"/>
              </w:rPr>
            </w:pPr>
            <w:r>
              <w:rPr>
                <w:rFonts w:hint="eastAsia" w:ascii="宋体" w:hAnsi="宋体" w:cs="宋体"/>
                <w:sz w:val="28"/>
                <w:szCs w:val="28"/>
                <w:highlight w:val="none"/>
              </w:rPr>
              <w:t>编码</w:t>
            </w:r>
          </w:p>
        </w:tc>
        <w:tc>
          <w:tcPr>
            <w:tcW w:w="2164" w:type="dxa"/>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Merge w:val="restart"/>
            <w:vAlign w:val="center"/>
          </w:tcPr>
          <w:p>
            <w:pPr>
              <w:pStyle w:val="35"/>
              <w:spacing w:line="288" w:lineRule="auto"/>
              <w:jc w:val="center"/>
              <w:rPr>
                <w:rFonts w:ascii="宋体" w:hAnsi="宋体" w:cs="宋体"/>
                <w:sz w:val="28"/>
                <w:szCs w:val="28"/>
                <w:highlight w:val="none"/>
              </w:rPr>
            </w:pPr>
            <w:r>
              <w:rPr>
                <w:rFonts w:hint="eastAsia" w:ascii="宋体" w:hAnsi="宋体" w:cs="宋体"/>
                <w:sz w:val="28"/>
                <w:szCs w:val="28"/>
                <w:highlight w:val="none"/>
              </w:rPr>
              <w:t>联系方式</w:t>
            </w:r>
          </w:p>
        </w:tc>
        <w:tc>
          <w:tcPr>
            <w:tcW w:w="977" w:type="dxa"/>
            <w:vAlign w:val="center"/>
          </w:tcPr>
          <w:p>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联系人</w:t>
            </w:r>
          </w:p>
        </w:tc>
        <w:tc>
          <w:tcPr>
            <w:tcW w:w="2140" w:type="dxa"/>
            <w:vAlign w:val="center"/>
          </w:tcPr>
          <w:p>
            <w:pPr>
              <w:pStyle w:val="35"/>
              <w:spacing w:line="288" w:lineRule="auto"/>
              <w:jc w:val="center"/>
              <w:rPr>
                <w:rFonts w:ascii="宋体" w:hAnsi="宋体" w:cs="宋体"/>
                <w:sz w:val="28"/>
                <w:szCs w:val="28"/>
                <w:highlight w:val="none"/>
              </w:rPr>
            </w:pPr>
          </w:p>
        </w:tc>
        <w:tc>
          <w:tcPr>
            <w:tcW w:w="1164" w:type="dxa"/>
            <w:vAlign w:val="center"/>
          </w:tcPr>
          <w:p>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电话</w:t>
            </w:r>
          </w:p>
        </w:tc>
        <w:tc>
          <w:tcPr>
            <w:tcW w:w="2164" w:type="dxa"/>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Merge w:val="continue"/>
            <w:tcBorders>
              <w:top w:val="nil"/>
            </w:tcBorders>
            <w:vAlign w:val="center"/>
          </w:tcPr>
          <w:p>
            <w:pPr>
              <w:spacing w:line="288" w:lineRule="auto"/>
              <w:jc w:val="center"/>
              <w:rPr>
                <w:rFonts w:ascii="宋体" w:hAnsi="宋体" w:cs="宋体"/>
                <w:sz w:val="28"/>
                <w:szCs w:val="28"/>
                <w:highlight w:val="none"/>
              </w:rPr>
            </w:pPr>
          </w:p>
        </w:tc>
        <w:tc>
          <w:tcPr>
            <w:tcW w:w="977" w:type="dxa"/>
            <w:vAlign w:val="center"/>
          </w:tcPr>
          <w:p>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网址</w:t>
            </w:r>
          </w:p>
        </w:tc>
        <w:tc>
          <w:tcPr>
            <w:tcW w:w="2140" w:type="dxa"/>
            <w:vAlign w:val="center"/>
          </w:tcPr>
          <w:p>
            <w:pPr>
              <w:pStyle w:val="35"/>
              <w:spacing w:line="288" w:lineRule="auto"/>
              <w:jc w:val="center"/>
              <w:rPr>
                <w:rFonts w:ascii="宋体" w:hAnsi="宋体" w:cs="宋体"/>
                <w:sz w:val="28"/>
                <w:szCs w:val="28"/>
                <w:highlight w:val="none"/>
              </w:rPr>
            </w:pPr>
          </w:p>
        </w:tc>
        <w:tc>
          <w:tcPr>
            <w:tcW w:w="1164" w:type="dxa"/>
            <w:vAlign w:val="center"/>
          </w:tcPr>
          <w:p>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传真</w:t>
            </w:r>
          </w:p>
        </w:tc>
        <w:tc>
          <w:tcPr>
            <w:tcW w:w="2164" w:type="dxa"/>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pPr>
              <w:pStyle w:val="35"/>
              <w:spacing w:line="288" w:lineRule="auto"/>
              <w:ind w:left="123" w:right="111"/>
              <w:jc w:val="center"/>
              <w:rPr>
                <w:rFonts w:ascii="宋体" w:hAnsi="宋体" w:cs="宋体"/>
                <w:sz w:val="28"/>
                <w:szCs w:val="28"/>
                <w:highlight w:val="none"/>
              </w:rPr>
            </w:pPr>
            <w:r>
              <w:rPr>
                <w:rFonts w:hint="eastAsia" w:ascii="宋体" w:hAnsi="宋体" w:cs="宋体"/>
                <w:sz w:val="28"/>
                <w:szCs w:val="28"/>
                <w:highlight w:val="none"/>
              </w:rPr>
              <w:t>法定代表人</w:t>
            </w:r>
          </w:p>
          <w:p>
            <w:pPr>
              <w:pStyle w:val="35"/>
              <w:spacing w:line="288" w:lineRule="auto"/>
              <w:ind w:left="18" w:right="111"/>
              <w:jc w:val="center"/>
              <w:rPr>
                <w:rFonts w:ascii="宋体" w:hAnsi="宋体" w:cs="宋体"/>
                <w:sz w:val="28"/>
                <w:szCs w:val="28"/>
                <w:highlight w:val="none"/>
              </w:rPr>
            </w:pPr>
            <w:r>
              <w:rPr>
                <w:rFonts w:hint="eastAsia" w:ascii="宋体" w:hAnsi="宋体" w:cs="宋体"/>
                <w:sz w:val="28"/>
                <w:szCs w:val="28"/>
                <w:highlight w:val="none"/>
              </w:rPr>
              <w:t>（单位负责人）</w:t>
            </w:r>
          </w:p>
        </w:tc>
        <w:tc>
          <w:tcPr>
            <w:tcW w:w="977" w:type="dxa"/>
            <w:vAlign w:val="center"/>
          </w:tcPr>
          <w:p>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姓名</w:t>
            </w:r>
          </w:p>
        </w:tc>
        <w:tc>
          <w:tcPr>
            <w:tcW w:w="2140" w:type="dxa"/>
            <w:vAlign w:val="center"/>
          </w:tcPr>
          <w:p>
            <w:pPr>
              <w:pStyle w:val="35"/>
              <w:spacing w:line="288" w:lineRule="auto"/>
              <w:jc w:val="center"/>
              <w:rPr>
                <w:rFonts w:ascii="宋体" w:hAnsi="宋体" w:cs="宋体"/>
                <w:sz w:val="28"/>
                <w:szCs w:val="28"/>
                <w:highlight w:val="none"/>
              </w:rPr>
            </w:pPr>
          </w:p>
        </w:tc>
        <w:tc>
          <w:tcPr>
            <w:tcW w:w="1164" w:type="dxa"/>
            <w:vAlign w:val="center"/>
          </w:tcPr>
          <w:p>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电话</w:t>
            </w:r>
          </w:p>
        </w:tc>
        <w:tc>
          <w:tcPr>
            <w:tcW w:w="2164" w:type="dxa"/>
            <w:vAlign w:val="center"/>
          </w:tcPr>
          <w:p>
            <w:pPr>
              <w:pStyle w:val="35"/>
              <w:spacing w:line="288" w:lineRule="auto"/>
              <w:jc w:val="center"/>
              <w:rPr>
                <w:rFonts w:ascii="宋体" w:hAnsi="宋体" w:cs="宋体"/>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074" w:type="dxa"/>
            <w:vAlign w:val="center"/>
          </w:tcPr>
          <w:p>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备注</w:t>
            </w:r>
          </w:p>
        </w:tc>
        <w:tc>
          <w:tcPr>
            <w:tcW w:w="6445" w:type="dxa"/>
            <w:gridSpan w:val="4"/>
            <w:vAlign w:val="center"/>
          </w:tcPr>
          <w:p>
            <w:pPr>
              <w:pStyle w:val="35"/>
              <w:spacing w:line="288" w:lineRule="auto"/>
              <w:jc w:val="center"/>
              <w:rPr>
                <w:rFonts w:ascii="宋体" w:hAnsi="宋体" w:cs="宋体"/>
                <w:sz w:val="28"/>
                <w:szCs w:val="28"/>
                <w:highlight w:val="none"/>
              </w:rPr>
            </w:pPr>
          </w:p>
        </w:tc>
      </w:tr>
    </w:tbl>
    <w:p>
      <w:pPr>
        <w:pStyle w:val="34"/>
        <w:spacing w:line="288" w:lineRule="auto"/>
        <w:ind w:left="237" w:firstLine="0"/>
        <w:outlineLvl w:val="9"/>
        <w:rPr>
          <w:rFonts w:ascii="宋体" w:hAnsi="宋体" w:cs="宋体"/>
          <w:highlight w:val="none"/>
        </w:rPr>
      </w:pPr>
      <w:bookmarkStart w:id="166" w:name="_bookmark165"/>
      <w:bookmarkEnd w:id="166"/>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highlight w:val="none"/>
        </w:rPr>
        <w:br w:type="page"/>
      </w:r>
      <w:r>
        <w:rPr>
          <w:rFonts w:hint="eastAsia" w:ascii="方正仿宋_GBK" w:hAnsi="方正仿宋_GBK" w:eastAsia="方正仿宋_GBK" w:cs="方正仿宋_GBK"/>
          <w:color w:val="auto"/>
          <w:kern w:val="0"/>
          <w:sz w:val="28"/>
          <w:szCs w:val="28"/>
          <w:highlight w:val="none"/>
          <w:lang w:val="en-US" w:eastAsia="zh-CN"/>
        </w:rPr>
        <w:t>1.满足《中华人民共和国政府采购法》第二十二条规定：</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1.1供应商具有独立承担民事责任的能力（提供营业执照扫描件）；</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lang w:val="en-US" w:eastAsia="zh-CN"/>
        </w:rPr>
        <w:t>供应商具有依法缴纳税收的良好记录（须提供缴税所属时间在202</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年</w:t>
      </w:r>
      <w:r>
        <w:rPr>
          <w:rFonts w:hint="eastAsia" w:ascii="方正仿宋_GBK" w:hAnsi="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lang w:val="en-US" w:eastAsia="zh-CN"/>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lang w:val="en-US" w:eastAsia="zh-CN"/>
        </w:rPr>
        <w:t>供应商具有依法缴纳社会保障资金的良好记录（须提供缴费所属时间在202</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年</w:t>
      </w:r>
      <w:r>
        <w:rPr>
          <w:rFonts w:hint="eastAsia" w:ascii="方正仿宋_GBK" w:hAnsi="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lang w:val="en-US" w:eastAsia="zh-CN"/>
        </w:rPr>
        <w:t>月至本项目报价文件提交截止时间前任意1个月的社会保险费缴款书或银行电子缴税（费）凭证或社保管理部门出具的有效的缴款证明，依法免缴的，应提供依法免缴的相关证明文件，新成立的企业（未满3个月）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方正仿宋_GBK" w:hAnsi="方正仿宋_GBK" w:cs="方正仿宋_GBK"/>
          <w:color w:val="auto"/>
          <w:kern w:val="0"/>
          <w:sz w:val="28"/>
          <w:szCs w:val="28"/>
          <w:highlight w:val="none"/>
          <w:lang w:val="en-US" w:eastAsia="zh-CN"/>
        </w:rPr>
        <w:t>及个体工商户</w:t>
      </w:r>
      <w:r>
        <w:rPr>
          <w:rFonts w:hint="eastAsia" w:ascii="方正仿宋_GBK" w:hAnsi="方正仿宋_GBK" w:eastAsia="方正仿宋_GBK" w:cs="方正仿宋_GBK"/>
          <w:color w:val="auto"/>
          <w:kern w:val="0"/>
          <w:sz w:val="28"/>
          <w:szCs w:val="28"/>
          <w:highlight w:val="none"/>
          <w:lang w:val="en-US" w:eastAsia="zh-CN"/>
        </w:rPr>
        <w:t>无须提供证明材料）；</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供应商具有履行合同所必需的设备和专业技术能力（投标人提供书面声明或证明材料）；</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2.本项目的特定资格要求：</w:t>
      </w:r>
    </w:p>
    <w:p>
      <w:pPr>
        <w:keepNext w:val="0"/>
        <w:keepLines w:val="0"/>
        <w:pageBreakBefore w:val="0"/>
        <w:kinsoku/>
        <w:wordWrap/>
        <w:overflowPunct/>
        <w:topLinePunct w:val="0"/>
        <w:autoSpaceDE/>
        <w:autoSpaceDN/>
        <w:bidi w:val="0"/>
        <w:snapToGrid/>
        <w:spacing w:line="460" w:lineRule="exact"/>
        <w:ind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w:t>
      </w:r>
      <w:r>
        <w:rPr>
          <w:rFonts w:hint="default" w:ascii="方正仿宋_GBK" w:hAnsi="方正仿宋_GBK" w:eastAsia="方正仿宋_GBK" w:cs="方正仿宋_GBK"/>
          <w:color w:val="auto"/>
          <w:kern w:val="0"/>
          <w:sz w:val="28"/>
          <w:szCs w:val="28"/>
          <w:highlight w:val="none"/>
          <w:lang w:val="en-US" w:eastAsia="zh-CN" w:bidi="ar-SA"/>
        </w:rPr>
        <w:t>本项目的特定资格要求：投标人为代理商或经销商的，须提供</w:t>
      </w:r>
      <w:r>
        <w:rPr>
          <w:rFonts w:hint="eastAsia" w:ascii="方正仿宋_GBK" w:hAnsi="方正仿宋_GBK" w:eastAsia="方正仿宋_GBK" w:cs="方正仿宋_GBK"/>
          <w:color w:val="auto"/>
          <w:kern w:val="0"/>
          <w:sz w:val="28"/>
          <w:szCs w:val="28"/>
          <w:highlight w:val="none"/>
          <w:lang w:val="en-US" w:eastAsia="zh-CN" w:bidi="ar-SA"/>
        </w:rPr>
        <w:t>危化品经营许可证</w:t>
      </w:r>
      <w:r>
        <w:rPr>
          <w:rFonts w:hint="default" w:ascii="方正仿宋_GBK" w:hAnsi="方正仿宋_GBK" w:eastAsia="方正仿宋_GBK" w:cs="方正仿宋_GBK"/>
          <w:color w:val="auto"/>
          <w:kern w:val="0"/>
          <w:sz w:val="28"/>
          <w:szCs w:val="28"/>
          <w:highlight w:val="none"/>
          <w:lang w:val="en-US" w:eastAsia="zh-CN" w:bidi="ar-SA"/>
        </w:rPr>
        <w:t>，投标人为制造商的，须提供</w:t>
      </w:r>
      <w:r>
        <w:rPr>
          <w:rFonts w:hint="eastAsia" w:ascii="方正仿宋_GBK" w:hAnsi="方正仿宋_GBK" w:eastAsia="方正仿宋_GBK" w:cs="方正仿宋_GBK"/>
          <w:color w:val="auto"/>
          <w:kern w:val="0"/>
          <w:sz w:val="28"/>
          <w:szCs w:val="28"/>
          <w:highlight w:val="none"/>
          <w:lang w:val="en-US" w:eastAsia="zh-CN" w:bidi="ar-SA"/>
        </w:rPr>
        <w:t>备案证，</w:t>
      </w:r>
      <w:r>
        <w:rPr>
          <w:rFonts w:hint="default" w:ascii="方正仿宋_GBK" w:hAnsi="方正仿宋_GBK" w:eastAsia="方正仿宋_GBK" w:cs="方正仿宋_GBK"/>
          <w:color w:val="auto"/>
          <w:kern w:val="0"/>
          <w:sz w:val="28"/>
          <w:szCs w:val="28"/>
          <w:highlight w:val="none"/>
          <w:lang w:val="en-US" w:eastAsia="zh-CN" w:bidi="ar-SA"/>
        </w:rPr>
        <w:t xml:space="preserve">注：提供的证件均在有效期范围内。 </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w:t>
      </w:r>
      <w:r>
        <w:rPr>
          <w:rFonts w:hint="default" w:ascii="方正仿宋_GBK" w:hAnsi="方正仿宋_GBK" w:eastAsia="方正仿宋_GBK" w:cs="方正仿宋_GBK"/>
          <w:color w:val="auto"/>
          <w:kern w:val="0"/>
          <w:sz w:val="28"/>
          <w:szCs w:val="28"/>
          <w:highlight w:val="none"/>
          <w:lang w:val="en-US" w:eastAsia="zh-CN" w:bidi="ar-SA"/>
        </w:rPr>
        <w:t xml:space="preserve"> 法律、行政法规规定的其他条件：根据财库〔2016〕125号文件《财政部关于在政府采购活动中查询及使用信用记录有关问题的通知》规定，投标人未被列入</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信用中国</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网站（www.creditchina.gov.cn）</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失信被执行人、政府采购严重违法失信行为记录名单、重大税收违法失信主体</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及中国政府采购网（www.ccgp.gov.cn）</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政府采购严重违法失信行为信息记录</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w:t>
      </w:r>
      <w:r>
        <w:rPr>
          <w:rFonts w:hint="default" w:ascii="方正仿宋_GBK" w:hAnsi="方正仿宋_GBK" w:eastAsia="方正仿宋_GBK" w:cs="方正仿宋_GBK"/>
          <w:color w:val="auto"/>
          <w:kern w:val="0"/>
          <w:sz w:val="28"/>
          <w:szCs w:val="28"/>
          <w:highlight w:val="none"/>
          <w:lang w:val="en-US" w:eastAsia="zh-CN" w:bidi="ar-SA"/>
        </w:rPr>
        <w:t>根据《中华人民共和国政府采购法实施条例》第十八条规定，单位负责人为同一人或者存在直接控股、管理关系的不同供应商，不得参加同一合同项下的采购活动（提供书面声明即可）。</w:t>
      </w:r>
    </w:p>
    <w:p>
      <w:pPr>
        <w:spacing w:line="600" w:lineRule="exact"/>
        <w:ind w:firstLine="560" w:firstLineChars="200"/>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w:t>
      </w:r>
      <w:r>
        <w:rPr>
          <w:rFonts w:hint="default" w:ascii="方正仿宋_GBK" w:hAnsi="方正仿宋_GBK" w:eastAsia="方正仿宋_GBK" w:cs="方正仿宋_GBK"/>
          <w:color w:val="auto"/>
          <w:kern w:val="0"/>
          <w:sz w:val="28"/>
          <w:szCs w:val="28"/>
          <w:highlight w:val="none"/>
          <w:lang w:val="en-US" w:eastAsia="zh-CN" w:bidi="ar-SA"/>
        </w:rPr>
        <w:t>本项目不接受联合体投标（提供书面声明即可）。</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bidi="ar-SA"/>
        </w:rPr>
      </w:pPr>
    </w:p>
    <w:p>
      <w:pPr>
        <w:spacing w:line="600" w:lineRule="exact"/>
        <w:ind w:firstLine="480" w:firstLineChars="200"/>
        <w:rPr>
          <w:sz w:val="24"/>
          <w:szCs w:val="24"/>
          <w:highlight w:val="none"/>
        </w:rPr>
      </w:pPr>
    </w:p>
    <w:p>
      <w:pPr>
        <w:pStyle w:val="2"/>
        <w:rPr>
          <w:rFonts w:ascii="宋体" w:hAnsi="宋体" w:cs="宋体"/>
          <w:sz w:val="21"/>
          <w:szCs w:val="21"/>
          <w:highlight w:val="none"/>
        </w:rPr>
      </w:pPr>
    </w:p>
    <w:p>
      <w:pPr>
        <w:rPr>
          <w:rFonts w:ascii="宋体" w:hAnsi="宋体" w:cs="宋体"/>
          <w:sz w:val="21"/>
          <w:szCs w:val="21"/>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pPr>
    </w:p>
    <w:p>
      <w:pPr>
        <w:rPr>
          <w:highlight w:val="none"/>
        </w:rPr>
      </w:pPr>
    </w:p>
    <w:p>
      <w:pPr>
        <w:pStyle w:val="2"/>
      </w:pPr>
    </w:p>
    <w:p/>
    <w:p>
      <w:pPr>
        <w:rPr>
          <w:highlight w:val="none"/>
        </w:rPr>
      </w:pPr>
    </w:p>
    <w:p>
      <w:pPr>
        <w:bidi w:val="0"/>
        <w:jc w:val="center"/>
        <w:rPr>
          <w:rFonts w:hint="eastAsia" w:ascii="方正黑体_GBK" w:hAnsi="方正黑体_GBK" w:eastAsia="方正黑体_GBK" w:cs="方正黑体_GBK"/>
        </w:rPr>
      </w:pPr>
      <w:bookmarkStart w:id="167" w:name="_bookmark170"/>
      <w:bookmarkEnd w:id="167"/>
      <w:bookmarkStart w:id="168" w:name="_bookmark172"/>
      <w:bookmarkEnd w:id="168"/>
      <w:bookmarkStart w:id="169" w:name="_bookmark171"/>
      <w:bookmarkEnd w:id="169"/>
      <w:bookmarkStart w:id="170" w:name="_Toc533420658"/>
      <w:r>
        <w:rPr>
          <w:rFonts w:hint="eastAsia" w:ascii="方正黑体_GBK" w:hAnsi="方正黑体_GBK" w:eastAsia="方正黑体_GBK" w:cs="方正黑体_GBK"/>
          <w:lang w:val="en-US" w:eastAsia="zh-CN"/>
        </w:rPr>
        <w:t>七</w:t>
      </w:r>
      <w:r>
        <w:rPr>
          <w:rFonts w:hint="eastAsia" w:ascii="方正黑体_GBK" w:hAnsi="方正黑体_GBK" w:eastAsia="方正黑体_GBK" w:cs="方正黑体_GBK"/>
        </w:rPr>
        <w:t>、</w:t>
      </w:r>
      <w:bookmarkEnd w:id="170"/>
      <w:r>
        <w:rPr>
          <w:rFonts w:hint="eastAsia" w:ascii="方正黑体_GBK" w:hAnsi="方正黑体_GBK" w:eastAsia="方正黑体_GBK" w:cs="方正黑体_GBK"/>
          <w:lang w:val="en-US" w:eastAsia="zh-CN"/>
        </w:rPr>
        <w:t>技术</w:t>
      </w:r>
      <w:r>
        <w:rPr>
          <w:rFonts w:hint="eastAsia" w:ascii="方正黑体_GBK" w:hAnsi="方正黑体_GBK" w:eastAsia="方正黑体_GBK" w:cs="方正黑体_GBK"/>
        </w:rPr>
        <w:t>方案</w:t>
      </w:r>
    </w:p>
    <w:p>
      <w:pPr>
        <w:spacing w:line="288" w:lineRule="auto"/>
        <w:jc w:val="center"/>
        <w:rPr>
          <w:rFonts w:ascii="宋体" w:hAnsi="宋体" w:cs="宋体"/>
          <w:sz w:val="22"/>
          <w:szCs w:val="22"/>
          <w:highlight w:val="none"/>
        </w:rPr>
      </w:pPr>
      <w:r>
        <w:rPr>
          <w:rFonts w:hint="eastAsia" w:ascii="宋体" w:hAnsi="宋体" w:cs="宋体"/>
          <w:sz w:val="22"/>
          <w:szCs w:val="22"/>
          <w:highlight w:val="none"/>
        </w:rPr>
        <w:t>（需包含</w:t>
      </w:r>
      <w:r>
        <w:rPr>
          <w:rFonts w:hint="eastAsia" w:ascii="宋体" w:hAnsi="宋体" w:cs="宋体"/>
          <w:sz w:val="22"/>
          <w:szCs w:val="22"/>
          <w:highlight w:val="none"/>
          <w:lang w:val="en-US" w:eastAsia="zh-CN"/>
        </w:rPr>
        <w:t>供货方案、</w:t>
      </w:r>
      <w:r>
        <w:rPr>
          <w:rFonts w:hint="eastAsia" w:ascii="宋体" w:hAnsi="宋体" w:cs="宋体"/>
          <w:sz w:val="22"/>
          <w:szCs w:val="22"/>
          <w:highlight w:val="none"/>
        </w:rPr>
        <w:t>质量保证措施承诺、售后服务方案、</w:t>
      </w:r>
      <w:r>
        <w:rPr>
          <w:rFonts w:hint="eastAsia" w:ascii="宋体" w:hAnsi="宋体" w:cs="宋体"/>
          <w:sz w:val="22"/>
          <w:szCs w:val="22"/>
          <w:highlight w:val="none"/>
          <w:lang w:val="en-US" w:eastAsia="zh-CN"/>
        </w:rPr>
        <w:t>应急措施、</w:t>
      </w:r>
      <w:r>
        <w:rPr>
          <w:rFonts w:hint="eastAsia" w:ascii="宋体" w:hAnsi="宋体" w:cs="宋体"/>
          <w:sz w:val="22"/>
          <w:szCs w:val="22"/>
          <w:highlight w:val="none"/>
        </w:rPr>
        <w:t>服务期限等内容。格式内容自拟）</w:t>
      </w:r>
    </w:p>
    <w:p>
      <w:pPr>
        <w:spacing w:line="288" w:lineRule="auto"/>
        <w:rPr>
          <w:rFonts w:ascii="宋体" w:hAnsi="宋体" w:cs="宋体"/>
          <w:highlight w:val="none"/>
        </w:rPr>
        <w:sectPr>
          <w:pgSz w:w="12240" w:h="15840"/>
          <w:pgMar w:top="1440" w:right="1800" w:bottom="1440" w:left="1800" w:header="0" w:footer="841" w:gutter="0"/>
          <w:pgNumType w:fmt="decimal"/>
          <w:cols w:space="708" w:num="1"/>
        </w:sectPr>
      </w:pPr>
    </w:p>
    <w:p>
      <w:pPr>
        <w:bidi w:val="0"/>
        <w:jc w:val="center"/>
        <w:rPr>
          <w:rFonts w:hint="eastAsia" w:ascii="方正黑体_GBK" w:hAnsi="方正黑体_GBK" w:eastAsia="方正黑体_GBK" w:cs="方正黑体_GBK"/>
        </w:rPr>
      </w:pPr>
      <w:bookmarkStart w:id="171" w:name="_bookmark173"/>
      <w:bookmarkEnd w:id="171"/>
      <w:bookmarkStart w:id="172" w:name="_Toc533420659"/>
      <w:r>
        <w:rPr>
          <w:rFonts w:hint="eastAsia" w:ascii="方正黑体_GBK" w:hAnsi="方正黑体_GBK" w:eastAsia="方正黑体_GBK" w:cs="方正黑体_GBK"/>
          <w:lang w:val="en-US" w:eastAsia="zh-CN"/>
        </w:rPr>
        <w:t>八</w:t>
      </w:r>
      <w:r>
        <w:rPr>
          <w:rFonts w:hint="eastAsia" w:ascii="方正黑体_GBK" w:hAnsi="方正黑体_GBK" w:eastAsia="方正黑体_GBK" w:cs="方正黑体_GBK"/>
        </w:rPr>
        <w:t>、</w:t>
      </w:r>
      <w:bookmarkEnd w:id="172"/>
      <w:r>
        <w:rPr>
          <w:rFonts w:hint="eastAsia" w:ascii="方正黑体_GBK" w:hAnsi="方正黑体_GBK" w:eastAsia="方正黑体_GBK" w:cs="方正黑体_GBK"/>
        </w:rPr>
        <w:t>供应商认为需要提供的其他资料（若有）</w:t>
      </w:r>
    </w:p>
    <w:p>
      <w:pPr>
        <w:bidi w:val="0"/>
        <w:jc w:val="center"/>
      </w:pPr>
      <w:r>
        <w:rPr>
          <w:rFonts w:hint="eastAsia"/>
        </w:rPr>
        <w:t>（格式内容自拟）</w:t>
      </w: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adjustRightInd w:val="0"/>
        <w:snapToGrid w:val="0"/>
        <w:spacing w:line="288" w:lineRule="auto"/>
        <w:ind w:firstLine="800" w:firstLineChars="250"/>
        <w:rPr>
          <w:rFonts w:ascii="宋体" w:hAnsi="宋体" w:cs="宋体"/>
          <w:snapToGrid w:val="0"/>
          <w:szCs w:val="21"/>
          <w:highlight w:val="none"/>
        </w:rPr>
      </w:pPr>
    </w:p>
    <w:p>
      <w:pPr>
        <w:spacing w:line="288" w:lineRule="auto"/>
        <w:rPr>
          <w:rFonts w:ascii="宋体" w:hAnsi="宋体" w:cs="宋体"/>
          <w:highlight w:val="none"/>
        </w:rPr>
      </w:pPr>
    </w:p>
    <w:bookmarkEnd w:id="139"/>
    <w:p>
      <w:pPr>
        <w:rPr>
          <w:rFonts w:hint="default" w:ascii="Times New Roman" w:hAnsi="Times New Roman" w:cs="Times New Roman"/>
          <w:lang w:val="en-US" w:eastAsia="zh-CN"/>
        </w:rPr>
      </w:pPr>
      <w:bookmarkStart w:id="173" w:name="_Toc15324"/>
    </w:p>
    <w:p>
      <w:pPr>
        <w:pStyle w:val="2"/>
        <w:rPr>
          <w:rFonts w:hint="default" w:ascii="Times New Roman" w:hAnsi="Times New Roman" w:cs="Times New Roman"/>
          <w:lang w:val="en-US" w:eastAsia="zh-CN"/>
        </w:rPr>
      </w:pPr>
      <w:r>
        <w:rPr>
          <w:rFonts w:hint="default" w:ascii="Times New Roman" w:hAnsi="Times New Roman" w:cs="Times New Roman"/>
          <w:b/>
          <w:bCs/>
          <w:color w:val="FF0000"/>
          <w:kern w:val="2"/>
          <w:sz w:val="21"/>
          <w:szCs w:val="21"/>
          <w:lang w:val="en-US" w:eastAsia="zh-CN" w:bidi="ar-SA"/>
        </w:rPr>
        <w:t xml:space="preserve">     </w:t>
      </w:r>
    </w:p>
    <w:bookmarkEnd w:id="173"/>
    <w:p>
      <w:pPr>
        <w:pStyle w:val="3"/>
        <w:bidi w:val="0"/>
        <w:outlineLvl w:val="9"/>
        <w:rPr>
          <w:rFonts w:hint="default" w:ascii="Times New Roman" w:hAnsi="Times New Roman" w:eastAsia="方正小标宋_GBK" w:cs="Times New Roman"/>
          <w:sz w:val="44"/>
          <w:szCs w:val="44"/>
          <w:lang w:val="en-US" w:eastAsia="zh-CN"/>
        </w:rPr>
      </w:pPr>
    </w:p>
    <w:p>
      <w:pPr>
        <w:pStyle w:val="3"/>
        <w:bidi w:val="0"/>
        <w:outlineLvl w:val="9"/>
        <w:rPr>
          <w:rFonts w:hint="default" w:ascii="Times New Roman" w:hAnsi="Times New Roman" w:eastAsia="方正小标宋_GBK" w:cs="Times New Roman"/>
          <w:sz w:val="44"/>
          <w:szCs w:val="44"/>
          <w:lang w:val="en-US" w:eastAsia="zh-CN"/>
        </w:rPr>
      </w:pPr>
    </w:p>
    <w:p>
      <w:pPr>
        <w:pStyle w:val="3"/>
        <w:bidi w:val="0"/>
        <w:outlineLvl w:val="9"/>
        <w:rPr>
          <w:rFonts w:hint="default" w:ascii="Times New Roman" w:hAnsi="Times New Roman" w:eastAsia="方正小标宋_GBK" w:cs="Times New Roman"/>
          <w:sz w:val="44"/>
          <w:szCs w:val="44"/>
          <w:lang w:val="en-US" w:eastAsia="zh-CN"/>
        </w:rPr>
      </w:pPr>
    </w:p>
    <w:p>
      <w:pPr>
        <w:pStyle w:val="3"/>
        <w:bidi w:val="0"/>
        <w:outlineLvl w:val="9"/>
        <w:rPr>
          <w:rFonts w:hint="default" w:ascii="Times New Roman" w:hAnsi="Times New Roman" w:eastAsia="方正小标宋_GBK" w:cs="Times New Roman"/>
          <w:sz w:val="44"/>
          <w:szCs w:val="44"/>
          <w:lang w:val="en-US" w:eastAsia="zh-CN"/>
        </w:rPr>
      </w:pPr>
    </w:p>
    <w:p>
      <w:pPr>
        <w:pStyle w:val="3"/>
        <w:bidi w:val="0"/>
        <w:jc w:val="both"/>
        <w:outlineLvl w:val="9"/>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cs="Times New Roman"/>
          <w:lang w:val="en-US" w:eastAsia="zh-CN"/>
        </w:rPr>
      </w:pPr>
    </w:p>
    <w:p>
      <w:pPr>
        <w:pStyle w:val="3"/>
        <w:bidi w:val="0"/>
        <w:rPr>
          <w:rFonts w:hint="default"/>
          <w:lang w:val="en-US" w:eastAsia="zh-CN"/>
        </w:rPr>
      </w:pPr>
      <w:bookmarkStart w:id="174" w:name="_Toc18090"/>
      <w:r>
        <w:rPr>
          <w:rFonts w:hint="default"/>
          <w:lang w:val="en-US" w:eastAsia="zh-CN"/>
        </w:rPr>
        <w:t>第五章 采 购 需 求</w:t>
      </w:r>
      <w:bookmarkEnd w:id="174"/>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一、采购需求概况</w:t>
      </w:r>
    </w:p>
    <w:p>
      <w:pPr>
        <w:keepNext w:val="0"/>
        <w:keepLines w:val="0"/>
        <w:pageBreakBefore w:val="0"/>
        <w:widowControl w:val="0"/>
        <w:numPr>
          <w:ilvl w:val="0"/>
          <w:numId w:val="3"/>
        </w:numPr>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r>
        <w:rPr>
          <w:rFonts w:hint="eastAsia" w:ascii="方正仿宋_GBK" w:hAnsi="方正仿宋_GBK" w:eastAsia="方正仿宋_GBK" w:cs="方正仿宋_GBK"/>
          <w:b w:val="0"/>
          <w:bCs w:val="0"/>
          <w:color w:val="auto"/>
          <w:sz w:val="32"/>
          <w:szCs w:val="32"/>
          <w:u w:val="none" w:color="auto"/>
          <w:lang w:val="en-US" w:eastAsia="zh-CN"/>
        </w:rPr>
        <w:t>大理州第二人民医院2025年度部份高效液相色谱试剂耗材采购项目（二次）</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项目编号：</w:t>
      </w:r>
      <w:r>
        <w:rPr>
          <w:rFonts w:hint="eastAsia" w:ascii="方正仿宋_GBK" w:hAnsi="方正仿宋_GBK" w:eastAsia="方正仿宋_GBK" w:cs="方正仿宋_GBK"/>
          <w:b w:val="0"/>
          <w:bCs w:val="0"/>
          <w:color w:val="auto"/>
          <w:sz w:val="32"/>
          <w:szCs w:val="32"/>
          <w:u w:val="none" w:color="auto"/>
          <w:lang w:val="en-US" w:eastAsia="zh-CN"/>
        </w:rPr>
        <w:t>DLZEYSBK-2025-01</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预算单价：详见第五章“三、试剂耗材采购内容及具体要求”。</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4、项目需求：根据采购人的日常需求按时、按需、按量开展各类试剂耗材的供应服务，且各类试剂耗材的采购、配置包装、运输配送、验收及售后服务等。</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5、本次采购不设置具体的采购数量，采购人根据实际需求据实结算。</w:t>
      </w:r>
    </w:p>
    <w:p>
      <w:pPr>
        <w:keepNext w:val="0"/>
        <w:keepLines w:val="0"/>
        <w:pageBreakBefore w:val="0"/>
        <w:widowControl w:val="0"/>
        <w:numPr>
          <w:ilvl w:val="0"/>
          <w:numId w:val="4"/>
        </w:numPr>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投标报价须知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投标方试剂耗材报价表必须包含但不限于试剂耗材的生产厂家、规格型号（规格型号内需注明每盒包装数量或容积）、</w:t>
      </w:r>
      <w:r>
        <w:rPr>
          <w:rFonts w:hint="eastAsia" w:ascii="方正仿宋_GBK" w:hAnsi="方正仿宋_GBK" w:eastAsia="方正仿宋_GBK" w:cs="方正仿宋_GBK"/>
          <w:sz w:val="32"/>
          <w:szCs w:val="32"/>
          <w:lang w:eastAsia="zh-CN"/>
        </w:rPr>
        <w:t>总容量、</w:t>
      </w:r>
      <w:r>
        <w:rPr>
          <w:rFonts w:hint="eastAsia" w:ascii="方正仿宋_GBK" w:hAnsi="方正仿宋_GBK" w:eastAsia="方正仿宋_GBK" w:cs="方正仿宋_GBK"/>
          <w:sz w:val="32"/>
          <w:szCs w:val="32"/>
        </w:rPr>
        <w:t>每盒供货价格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附件：2025年大理州第二人民医院</w:t>
      </w:r>
      <w:r>
        <w:rPr>
          <w:rFonts w:hint="eastAsia" w:ascii="方正仿宋_GBK" w:hAnsi="方正仿宋_GBK" w:eastAsia="方正仿宋_GBK" w:cs="方正仿宋_GBK"/>
          <w:sz w:val="32"/>
          <w:szCs w:val="32"/>
          <w:lang w:eastAsia="zh-CN"/>
        </w:rPr>
        <w:t>部份</w:t>
      </w:r>
      <w:r>
        <w:rPr>
          <w:rFonts w:hint="eastAsia" w:ascii="方正仿宋_GBK" w:hAnsi="方正仿宋_GBK" w:eastAsia="方正仿宋_GBK" w:cs="方正仿宋_GBK"/>
          <w:sz w:val="32"/>
          <w:szCs w:val="32"/>
        </w:rPr>
        <w:t>高效液相色谱试剂耗材采购项目报价清单作为后期采购试剂耗材的依据。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（二）试剂耗材预估采购数量以2024年采购量或估算进行填写，</w:t>
      </w:r>
      <w:r>
        <w:rPr>
          <w:rFonts w:hint="eastAsia" w:ascii="方正仿宋_GBK" w:hAnsi="方正仿宋_GBK" w:eastAsia="方正仿宋_GBK" w:cs="方正仿宋_GBK"/>
          <w:sz w:val="32"/>
          <w:szCs w:val="32"/>
        </w:rPr>
        <w:t>具体采购数量以今后实际采购数量为准。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（三）采购周期：两年，合同一年一签。</w:t>
      </w:r>
      <w:r>
        <w:rPr>
          <w:rFonts w:hint="eastAsia" w:ascii="方正仿宋_GBK" w:hAnsi="方正仿宋_GBK" w:eastAsia="方正仿宋_GBK" w:cs="方正仿宋_GBK"/>
          <w:sz w:val="32"/>
          <w:szCs w:val="32"/>
          <w:lang w:val="en-US" w:eastAsia="zh-CN"/>
        </w:rPr>
        <w:t>每年合同到期后采购人根据考核结果签订下一年供货合同，若考核不合格，采购人不再签订下一年供货合同</w:t>
      </w:r>
      <w:r>
        <w:rPr>
          <w:rFonts w:hint="eastAsia" w:ascii="方正仿宋_GBK" w:hAnsi="方正仿宋_GBK" w:eastAsia="方正仿宋_GBK" w:cs="方正仿宋_GBK"/>
          <w:color w:val="auto"/>
          <w:sz w:val="32"/>
          <w:szCs w:val="32"/>
          <w:u w:val="none"/>
          <w:lang w:val="en-US" w:eastAsia="zh-CN"/>
        </w:rPr>
        <w:t>。</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1.试剂耗材适用要求：投标人提供的16种试剂耗材必须适用于采购人现有业务开展，否则采购人有权终止供货合同；</w:t>
      </w:r>
      <w:r>
        <w:rPr>
          <w:rFonts w:hint="eastAsia" w:ascii="方正仿宋_GBK" w:hAnsi="方正仿宋_GBK" w:eastAsia="方正仿宋_GBK" w:cs="方正仿宋_GBK"/>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2.交货时间：接到订单后，中标方正常情况下48小时内送达采购人指定地点，特殊情况不得超过72小时，加急情况下需24小时内送达，特殊情况下节假日照常配送</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3.交货地点：大理州第二人民医院指定地点</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4.包装和运输要求：</w:t>
      </w:r>
      <w:r>
        <w:rPr>
          <w:rFonts w:hint="eastAsia" w:ascii="方正仿宋_GBK" w:hAnsi="方正仿宋_GBK" w:eastAsia="方正仿宋_GBK" w:cs="方正仿宋_GBK"/>
          <w:sz w:val="32"/>
          <w:szCs w:val="32"/>
          <w:u w:val="none"/>
          <w:lang w:eastAsia="zh-CN"/>
        </w:rPr>
        <w:t xml:space="preserve"> 包装运输要求须满足试剂耗材要求，如：运输方式、储存温度、包装方式等，不得发生包装破损等；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5.交货方式：</w:t>
      </w:r>
      <w:r>
        <w:rPr>
          <w:rFonts w:hint="eastAsia" w:ascii="方正仿宋_GBK" w:hAnsi="方正仿宋_GBK" w:eastAsia="方正仿宋_GBK" w:cs="方正仿宋_GBK"/>
          <w:sz w:val="32"/>
          <w:szCs w:val="32"/>
          <w:u w:val="none"/>
          <w:lang w:eastAsia="zh-CN"/>
        </w:rPr>
        <w:t>由</w:t>
      </w:r>
      <w:r>
        <w:rPr>
          <w:rFonts w:hint="eastAsia" w:ascii="方正仿宋_GBK" w:hAnsi="方正仿宋_GBK" w:eastAsia="方正仿宋_GBK" w:cs="方正仿宋_GBK"/>
          <w:sz w:val="32"/>
          <w:szCs w:val="32"/>
          <w:u w:val="none"/>
          <w:lang w:val="en-US" w:eastAsia="zh-CN"/>
        </w:rPr>
        <w:t>中标方</w:t>
      </w:r>
      <w:r>
        <w:rPr>
          <w:rFonts w:hint="eastAsia" w:ascii="方正仿宋_GBK" w:hAnsi="方正仿宋_GBK" w:eastAsia="方正仿宋_GBK" w:cs="方正仿宋_GBK"/>
          <w:sz w:val="32"/>
          <w:szCs w:val="32"/>
          <w:u w:val="none"/>
          <w:lang w:eastAsia="zh-CN"/>
        </w:rPr>
        <w:t>负责免费运输至</w:t>
      </w:r>
      <w:r>
        <w:rPr>
          <w:rFonts w:hint="eastAsia" w:ascii="方正仿宋_GBK" w:hAnsi="方正仿宋_GBK" w:eastAsia="方正仿宋_GBK" w:cs="方正仿宋_GBK"/>
          <w:sz w:val="32"/>
          <w:szCs w:val="32"/>
          <w:u w:val="none"/>
          <w:lang w:val="en-US" w:eastAsia="zh-CN"/>
        </w:rPr>
        <w:t>采购人</w:t>
      </w:r>
      <w:r>
        <w:rPr>
          <w:rFonts w:hint="eastAsia" w:ascii="方正仿宋_GBK" w:hAnsi="方正仿宋_GBK" w:eastAsia="方正仿宋_GBK" w:cs="方正仿宋_GBK"/>
          <w:sz w:val="32"/>
          <w:szCs w:val="32"/>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 xml:space="preserve">6.安装培训要求：由中标方负责免费运输至采购人指定位置，双方在场接收 </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7.验收要求及标准：</w:t>
      </w:r>
      <w:r>
        <w:rPr>
          <w:rFonts w:hint="eastAsia" w:ascii="方正仿宋_GBK" w:hAnsi="方正仿宋_GBK" w:eastAsia="方正仿宋_GBK" w:cs="方正仿宋_GBK"/>
          <w:sz w:val="32"/>
          <w:szCs w:val="32"/>
          <w:u w:val="none"/>
          <w:lang w:eastAsia="zh-CN"/>
        </w:rPr>
        <w:t>①对照发货清单、订购清单核对试剂耗材名称、规格型号、订购数量；②核对试剂耗材生产厂家、批号、生产日期、有效期、包装情况、质量等；③核对试剂耗材采购价格与合同价格是否一致；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8.履约保证金：</w:t>
      </w:r>
      <w:r>
        <w:rPr>
          <w:rFonts w:hint="eastAsia" w:ascii="方正仿宋_GBK" w:hAnsi="方正仿宋_GBK" w:eastAsia="方正仿宋_GBK" w:cs="方正仿宋_GBK"/>
          <w:sz w:val="32"/>
          <w:szCs w:val="32"/>
          <w:u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val="en-US" w:eastAsia="zh-CN"/>
        </w:rPr>
        <w:t xml:space="preserve">9.质保期: </w:t>
      </w:r>
      <w:r>
        <w:rPr>
          <w:rFonts w:hint="eastAsia" w:ascii="方正仿宋_GBK" w:hAnsi="方正仿宋_GBK" w:eastAsia="方正仿宋_GBK" w:cs="方正仿宋_GBK"/>
          <w:sz w:val="32"/>
          <w:szCs w:val="32"/>
          <w:u w:val="none"/>
          <w:lang w:eastAsia="zh-CN"/>
        </w:rPr>
        <w:t>所提供试剂耗材有效期不得少于总有效期的</w:t>
      </w:r>
      <w:r>
        <w:rPr>
          <w:rFonts w:hint="eastAsia" w:ascii="方正仿宋_GBK" w:hAnsi="方正仿宋_GBK" w:eastAsia="方正仿宋_GBK" w:cs="方正仿宋_GBK"/>
          <w:sz w:val="32"/>
          <w:szCs w:val="32"/>
          <w:u w:val="none"/>
          <w:lang w:val="en-US" w:eastAsia="zh-CN"/>
        </w:rPr>
        <w:t>2/3</w:t>
      </w:r>
      <w:r>
        <w:rPr>
          <w:rFonts w:hint="eastAsia" w:ascii="方正仿宋_GBK" w:hAnsi="方正仿宋_GBK" w:eastAsia="方正仿宋_GBK" w:cs="方正仿宋_GBK"/>
          <w:sz w:val="32"/>
          <w:szCs w:val="32"/>
          <w:u w:val="none"/>
          <w:lang w:eastAsia="zh-CN"/>
        </w:rPr>
        <w:t xml:space="preserve"> ，</w:t>
      </w:r>
      <w:r>
        <w:rPr>
          <w:rFonts w:hint="eastAsia" w:ascii="方正仿宋_GBK" w:hAnsi="方正仿宋_GBK" w:eastAsia="方正仿宋_GBK" w:cs="方正仿宋_GBK"/>
          <w:sz w:val="32"/>
          <w:szCs w:val="32"/>
          <w:lang w:val="en-US" w:eastAsia="zh-CN"/>
        </w:rPr>
        <w:t>投标人提供的试剂应是最新生产且检验合格的产品，且如果采购人购买的试剂需要调换且在质保期内的，应无条件免费予以更换</w:t>
      </w:r>
      <w:r>
        <w:rPr>
          <w:rFonts w:hint="eastAsia" w:ascii="方正仿宋_GBK" w:hAnsi="方正仿宋_GBK" w:eastAsia="方正仿宋_GBK" w:cs="方正仿宋_GBK"/>
          <w:sz w:val="32"/>
          <w:szCs w:val="32"/>
          <w:u w:val="none"/>
          <w:lang w:eastAsia="zh-CN"/>
        </w:rPr>
        <w:t>；</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10.付款方式: 对公转账付款，采购人收到货品并验收合格入库后三个月内依据中标方开具的正式发票付款；</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11.分包：本项目不接受分包；</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12.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四、售后服务要求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1.培训要求：必要时免费派工程师现场指导培训，提供试剂耗材操作培训及答疑；</w:t>
      </w:r>
    </w:p>
    <w:p>
      <w:pPr>
        <w:keepNext w:val="0"/>
        <w:keepLines w:val="0"/>
        <w:pageBreakBefore w:val="0"/>
        <w:widowControl w:val="0"/>
        <w:kinsoku/>
        <w:wordWrap/>
        <w:overflowPunct/>
        <w:topLinePunct w:val="0"/>
        <w:autoSpaceDE/>
        <w:autoSpaceDN/>
        <w:bidi w:val="0"/>
        <w:adjustRightInd/>
        <w:snapToGrid/>
        <w:spacing w:after="0" w:line="460" w:lineRule="exact"/>
        <w:ind w:firstLine="640" w:firstLineChars="200"/>
        <w:textAlignment w:val="auto"/>
        <w:rPr>
          <w:rFonts w:hint="eastAsia" w:ascii="方正仿宋_GBK" w:hAnsi="方正仿宋_GBK" w:eastAsia="方正仿宋_GBK" w:cs="方正仿宋_GBK"/>
          <w:b w:val="0"/>
          <w:kern w:val="2"/>
          <w:sz w:val="32"/>
          <w:szCs w:val="32"/>
          <w:u w:val="none"/>
          <w:lang w:val="en-US" w:eastAsia="zh-CN" w:bidi="ar-SA"/>
        </w:rPr>
      </w:pPr>
      <w:r>
        <w:rPr>
          <w:rFonts w:hint="eastAsia" w:ascii="方正仿宋_GBK" w:hAnsi="方正仿宋_GBK" w:eastAsia="方正仿宋_GBK" w:cs="方正仿宋_GBK"/>
          <w:b w:val="0"/>
          <w:kern w:val="2"/>
          <w:sz w:val="32"/>
          <w:szCs w:val="32"/>
          <w:u w:val="none"/>
          <w:lang w:val="en-US" w:eastAsia="zh-CN" w:bidi="ar-SA"/>
        </w:rPr>
        <w:t>2.技术服务要求：（1）设置售后服务电话；（2）接到售后服务电话后，需立即响应，并在2小时内做出答复；无法远程操作解决的需在48小时内到达现场进行维修，直至故障解除；</w:t>
      </w:r>
    </w:p>
    <w:p>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kern w:val="2"/>
          <w:sz w:val="32"/>
          <w:szCs w:val="32"/>
          <w:u w:val="none"/>
          <w:lang w:val="en-US" w:eastAsia="zh-CN" w:bidi="ar-SA"/>
        </w:rPr>
        <w:t>3.质量要求：所提供货物应有备案凭证、合格证、检验报告等，有效期至少在总有效期的2/3以上。</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p>
    <w:p>
      <w:pPr>
        <w:bidi w:val="0"/>
        <w:rPr>
          <w:rFonts w:hint="eastAsia" w:ascii="方正黑体_GBK" w:hAnsi="方正黑体_GBK" w:eastAsia="方正黑体_GBK" w:cs="方正黑体_GBK"/>
          <w:lang w:val="en-US" w:eastAsia="zh-CN"/>
        </w:rPr>
      </w:pPr>
      <w:bookmarkStart w:id="175" w:name="_Toc7716_WPSOffice_Level2"/>
      <w:r>
        <w:rPr>
          <w:rFonts w:hint="eastAsia" w:ascii="方正黑体_GBK" w:hAnsi="方正黑体_GBK" w:eastAsia="方正黑体_GBK" w:cs="方正黑体_GBK"/>
          <w:lang w:val="en-US" w:eastAsia="zh-CN"/>
        </w:rPr>
        <w:t>五、附件：</w:t>
      </w:r>
      <w:bookmarkEnd w:id="175"/>
      <w:r>
        <w:rPr>
          <w:rFonts w:hint="eastAsia" w:ascii="方正黑体_GBK" w:hAnsi="方正黑体_GBK" w:eastAsia="方正黑体_GBK" w:cs="方正黑体_GBK"/>
          <w:lang w:val="en-US" w:eastAsia="zh-CN"/>
        </w:rPr>
        <w:t>2025年大理州第二人民医院部份高效液相色谱试剂耗材采购项目报价清单</w:t>
      </w:r>
    </w:p>
    <w:tbl>
      <w:tblPr>
        <w:tblStyle w:val="16"/>
        <w:tblW w:w="15433" w:type="dxa"/>
        <w:tblInd w:w="-221" w:type="dxa"/>
        <w:shd w:val="clear" w:color="auto" w:fill="auto"/>
        <w:tblLayout w:type="fixed"/>
        <w:tblCellMar>
          <w:top w:w="0" w:type="dxa"/>
          <w:left w:w="108" w:type="dxa"/>
          <w:bottom w:w="0" w:type="dxa"/>
          <w:right w:w="108" w:type="dxa"/>
        </w:tblCellMar>
      </w:tblPr>
      <w:tblGrid>
        <w:gridCol w:w="756"/>
        <w:gridCol w:w="2251"/>
        <w:gridCol w:w="1825"/>
        <w:gridCol w:w="1605"/>
        <w:gridCol w:w="591"/>
        <w:gridCol w:w="790"/>
        <w:gridCol w:w="1058"/>
        <w:gridCol w:w="1020"/>
        <w:gridCol w:w="612"/>
        <w:gridCol w:w="1032"/>
        <w:gridCol w:w="1176"/>
        <w:gridCol w:w="876"/>
        <w:gridCol w:w="1841"/>
      </w:tblGrid>
      <w:tr>
        <w:tblPrEx>
          <w:shd w:val="clear" w:color="auto" w:fill="auto"/>
          <w:tblCellMar>
            <w:top w:w="0" w:type="dxa"/>
            <w:left w:w="108" w:type="dxa"/>
            <w:bottom w:w="0" w:type="dxa"/>
            <w:right w:w="108" w:type="dxa"/>
          </w:tblCellMar>
        </w:tblPrEx>
        <w:trPr>
          <w:trHeight w:val="69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名称</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生产厂家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预计使用量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供货价(元)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供货单位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总容量/(瓶、袋)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供货单价(元/瓶、袋)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供货总价(元)</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4L/瓶</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4L/瓶</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500ml/瓶</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4L/瓶</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1L/瓶,含量为最高的</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1L/瓶,含量为最高的</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1L/瓶,含量为最高的</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1L/瓶,含量为最高的</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250ul/支，带支架</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250ul/支,5*30mm/支</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10ul/个</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200ul/个</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1000ul/个</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圆底离心管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尖底离心管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w:t>
            </w:r>
          </w:p>
        </w:tc>
      </w:tr>
      <w:tr>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分析纯</w:t>
            </w:r>
          </w:p>
        </w:tc>
      </w:tr>
      <w:tr>
        <w:tblPrEx>
          <w:tblCellMar>
            <w:top w:w="0" w:type="dxa"/>
            <w:left w:w="108" w:type="dxa"/>
            <w:bottom w:w="0" w:type="dxa"/>
            <w:right w:w="108" w:type="dxa"/>
          </w:tblCellMar>
        </w:tblPrEx>
        <w:trPr>
          <w:trHeight w:val="492" w:hRule="atLeast"/>
        </w:trPr>
        <w:tc>
          <w:tcPr>
            <w:tcW w:w="1271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宋体" w:cs="Times New Roman"/>
          <w:bCs w:val="0"/>
          <w:i w:val="0"/>
          <w:color w:val="FF0000"/>
          <w:kern w:val="2"/>
          <w:sz w:val="22"/>
          <w:szCs w:val="22"/>
          <w:u w:val="none"/>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r>
        <w:rPr>
          <w:rFonts w:hint="default" w:ascii="Times New Roman" w:hAnsi="Times New Roman" w:eastAsia="宋体" w:cs="Times New Roman"/>
          <w:bCs w:val="0"/>
          <w:i w:val="0"/>
          <w:color w:val="FF0000"/>
          <w:kern w:val="2"/>
          <w:sz w:val="22"/>
          <w:szCs w:val="22"/>
          <w:u w:val="none"/>
          <w:lang w:val="en-US" w:eastAsia="zh-CN" w:bidi="ar-SA"/>
        </w:rPr>
        <w:t>采购人提供的预估采购数量仅根据202</w:t>
      </w:r>
      <w:r>
        <w:rPr>
          <w:rFonts w:hint="eastAsia" w:ascii="Times New Roman" w:hAnsi="Times New Roman" w:eastAsia="宋体" w:cs="Times New Roman"/>
          <w:bCs w:val="0"/>
          <w:i w:val="0"/>
          <w:color w:val="FF0000"/>
          <w:kern w:val="2"/>
          <w:sz w:val="22"/>
          <w:szCs w:val="22"/>
          <w:u w:val="none"/>
          <w:lang w:val="en-US" w:eastAsia="zh-CN" w:bidi="ar-SA"/>
        </w:rPr>
        <w:t>4</w:t>
      </w:r>
      <w:r>
        <w:rPr>
          <w:rFonts w:hint="default" w:ascii="Times New Roman" w:hAnsi="Times New Roman" w:eastAsia="宋体" w:cs="Times New Roman"/>
          <w:bCs w:val="0"/>
          <w:i w:val="0"/>
          <w:color w:val="FF0000"/>
          <w:kern w:val="2"/>
          <w:sz w:val="22"/>
          <w:szCs w:val="22"/>
          <w:u w:val="none"/>
          <w:lang w:val="en-US" w:eastAsia="zh-CN" w:bidi="ar-SA"/>
        </w:rPr>
        <w:t>年用量统计或推算，具体采购数量以今后实际采购数量为准。</w:t>
      </w:r>
    </w:p>
    <w:p>
      <w:pPr>
        <w:rPr>
          <w:rFonts w:hint="default" w:ascii="Times New Roman" w:hAnsi="Times New Roman" w:eastAsia="宋体" w:cs="Times New Roman"/>
          <w:bCs w:val="0"/>
          <w:i w:val="0"/>
          <w:color w:val="FF0000"/>
          <w:kern w:val="2"/>
          <w:sz w:val="22"/>
          <w:szCs w:val="22"/>
          <w:u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pStyle w:val="3"/>
        <w:bidi w:val="0"/>
        <w:rPr>
          <w:rFonts w:hint="default"/>
          <w:lang w:val="en-US" w:eastAsia="zh-CN"/>
        </w:rPr>
      </w:pPr>
      <w:bookmarkStart w:id="176" w:name="_Toc6354"/>
      <w:r>
        <w:rPr>
          <w:rFonts w:hint="default"/>
          <w:lang w:val="en-US" w:eastAsia="zh-CN"/>
        </w:rPr>
        <w:t>第六章 评 审 办 法</w:t>
      </w:r>
      <w:bookmarkEnd w:id="176"/>
    </w:p>
    <w:p>
      <w:pPr>
        <w:pStyle w:val="2"/>
        <w:numPr>
          <w:ilvl w:val="0"/>
          <w:numId w:val="0"/>
        </w:num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sz w:val="32"/>
          <w:szCs w:val="32"/>
          <w:lang w:val="en-US" w:eastAsia="zh-CN"/>
        </w:rPr>
      </w:pPr>
      <w:bookmarkStart w:id="177" w:name="_Toc15281"/>
      <w:r>
        <w:rPr>
          <w:rFonts w:hint="eastAsia" w:ascii="方正仿宋_GBK" w:hAnsi="方正仿宋_GBK" w:eastAsia="方正仿宋_GBK" w:cs="方正仿宋_GBK"/>
          <w:sz w:val="32"/>
          <w:szCs w:val="32"/>
          <w:lang w:val="en-US" w:eastAsia="zh-CN"/>
        </w:rPr>
        <w:t>一、评定内容及评审标准</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（一）本项目采用纸质评标，询价小组按照“</w:t>
      </w:r>
      <w:r>
        <w:rPr>
          <w:rFonts w:hint="eastAsia" w:ascii="方正仿宋_GBK" w:hAnsi="方正仿宋_GBK" w:eastAsia="方正仿宋_GBK" w:cs="方正仿宋_GBK"/>
          <w:sz w:val="32"/>
          <w:szCs w:val="32"/>
          <w:lang w:val="en-US" w:eastAsia="zh-CN"/>
        </w:rPr>
        <w:t>评审项目”</w:t>
      </w:r>
      <w:r>
        <w:rPr>
          <w:rFonts w:hint="eastAsia" w:ascii="方正仿宋_GBK" w:hAnsi="方正仿宋_GBK" w:eastAsia="方正仿宋_GBK" w:cs="方正仿宋_GBK"/>
          <w:sz w:val="32"/>
          <w:szCs w:val="32"/>
          <w:lang w:val="en-US" w:eastAsia="zh-CN"/>
        </w:rPr>
        <w:t>规定的方法、评审因素、标准和程序对响应文件进行评审。“</w:t>
      </w:r>
      <w:r>
        <w:rPr>
          <w:rFonts w:hint="eastAsia" w:ascii="方正仿宋_GBK" w:hAnsi="方正仿宋_GBK" w:eastAsia="方正仿宋_GBK" w:cs="方正仿宋_GBK"/>
          <w:sz w:val="32"/>
          <w:szCs w:val="32"/>
          <w:lang w:val="en-US" w:eastAsia="zh-CN"/>
        </w:rPr>
        <w:t>评审项目”</w:t>
      </w:r>
      <w:r>
        <w:rPr>
          <w:rFonts w:hint="eastAsia" w:ascii="方正仿宋_GBK" w:hAnsi="方正仿宋_GBK" w:eastAsia="方正仿宋_GBK" w:cs="方正仿宋_GBK"/>
          <w:sz w:val="32"/>
          <w:szCs w:val="32"/>
          <w:lang w:val="en-US" w:eastAsia="zh-CN"/>
        </w:rPr>
        <w:t>没有规定的方法、评审因素和标准，不作为评标依据。</w:t>
      </w:r>
    </w:p>
    <w:p>
      <w:pPr>
        <w:pStyle w:val="2"/>
        <w:keepNext w:val="0"/>
        <w:keepLines w:val="0"/>
        <w:pageBreakBefore w:val="0"/>
        <w:widowControl w:val="0"/>
        <w:kinsoku/>
        <w:wordWrap/>
        <w:overflowPunct/>
        <w:topLinePunct w:val="0"/>
        <w:autoSpaceDE/>
        <w:autoSpaceDN/>
        <w:bidi w:val="0"/>
        <w:snapToGrid/>
        <w:spacing w:beforeAutospacing="0" w:afterAutospacing="0" w:line="460" w:lineRule="exact"/>
        <w:ind w:firstLine="640" w:firstLineChars="200"/>
        <w:textAlignment w:val="auto"/>
        <w:rPr>
          <w:rFonts w:hint="eastAsia" w:ascii="方正仿宋_GBK" w:hAnsi="方正仿宋_GBK" w:eastAsia="方正仿宋_GBK" w:cs="方正仿宋_GBK"/>
          <w:bCs w:val="0"/>
          <w:color w:val="auto"/>
          <w:kern w:val="2"/>
          <w:sz w:val="32"/>
          <w:szCs w:val="32"/>
          <w:lang w:val="en-US" w:eastAsia="zh-CN" w:bidi="ar-SA"/>
        </w:rPr>
      </w:pPr>
      <w:r>
        <w:rPr>
          <w:rFonts w:hint="eastAsia" w:ascii="方正仿宋_GBK" w:hAnsi="方正仿宋_GBK" w:eastAsia="方正仿宋_GBK" w:cs="方正仿宋_GBK"/>
          <w:bCs w:val="0"/>
          <w:color w:val="auto"/>
          <w:kern w:val="2"/>
          <w:sz w:val="32"/>
          <w:szCs w:val="32"/>
          <w:lang w:val="en-US" w:eastAsia="zh-CN" w:bidi="ar-SA"/>
        </w:rPr>
        <w:t>（二）本次询价采购所采用的评标方法为 “</w:t>
      </w:r>
      <w:r>
        <w:rPr>
          <w:rFonts w:hint="eastAsia" w:ascii="方正仿宋_GBK" w:hAnsi="方正仿宋_GBK" w:eastAsia="方正仿宋_GBK" w:cs="方正仿宋_GBK"/>
          <w:bCs w:val="0"/>
          <w:color w:val="auto"/>
          <w:kern w:val="2"/>
          <w:sz w:val="32"/>
          <w:szCs w:val="32"/>
          <w:lang w:val="en-US" w:eastAsia="zh-CN" w:bidi="ar-SA"/>
        </w:rPr>
        <w:t>最低评标价法”</w:t>
      </w:r>
      <w:r>
        <w:rPr>
          <w:rFonts w:hint="eastAsia" w:ascii="方正仿宋_GBK" w:hAnsi="方正仿宋_GBK" w:eastAsia="方正仿宋_GBK" w:cs="方正仿宋_GBK"/>
          <w:bCs w:val="0"/>
          <w:color w:val="auto"/>
          <w:kern w:val="2"/>
          <w:sz w:val="32"/>
          <w:szCs w:val="32"/>
          <w:lang w:val="en-US" w:eastAsia="zh-CN" w:bidi="ar-SA"/>
        </w:rPr>
        <w:t>。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w:t>
      </w:r>
      <w:r>
        <w:rPr>
          <w:rFonts w:hint="eastAsia" w:ascii="方正仿宋_GBK" w:hAnsi="方正仿宋_GBK" w:eastAsia="方正仿宋_GBK" w:cs="方正仿宋_GBK"/>
          <w:bCs w:val="0"/>
          <w:color w:val="auto"/>
          <w:kern w:val="2"/>
          <w:sz w:val="32"/>
          <w:szCs w:val="32"/>
          <w:lang w:val="en-US" w:eastAsia="zh-CN" w:bidi="ar-SA"/>
        </w:rPr>
        <w:t>符合采购需求、质量和服务相等且报价最低”</w:t>
      </w:r>
      <w:r>
        <w:rPr>
          <w:rFonts w:hint="eastAsia" w:ascii="方正仿宋_GBK" w:hAnsi="方正仿宋_GBK" w:eastAsia="方正仿宋_GBK" w:cs="方正仿宋_GBK"/>
          <w:bCs w:val="0"/>
          <w:color w:val="auto"/>
          <w:kern w:val="2"/>
          <w:sz w:val="32"/>
          <w:szCs w:val="32"/>
          <w:lang w:val="en-US" w:eastAsia="zh-CN" w:bidi="ar-SA"/>
        </w:rPr>
        <w:t>。采用最低评标价法的，按合计金额由低到高顺序排列。若出现合计金额报价相同的，以清单中前八种试剂合计金额最低的供确定供货商；若合计金额报价相同，且清单中前八种试剂合计金额相同的，以抽签的方式确定排序。</w:t>
      </w:r>
    </w:p>
    <w:p>
      <w:pPr>
        <w:keepNext w:val="0"/>
        <w:keepLines w:val="0"/>
        <w:pageBreakBefore w:val="0"/>
        <w:widowControl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二、评标程序</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每一评标程序仅对上一评标过程的合格者进行评审。</w:t>
      </w:r>
      <w:r>
        <w:rPr>
          <w:rFonts w:hint="eastAsia" w:ascii="方正仿宋_GBK" w:hAnsi="方正仿宋_GBK" w:eastAsia="方正仿宋_GBK" w:cs="方正仿宋_GBK"/>
          <w:color w:val="000000" w:themeColor="text1"/>
          <w:sz w:val="32"/>
          <w:szCs w:val="32"/>
          <w14:textFill>
            <w14:solidFill>
              <w14:schemeClr w14:val="tx1"/>
            </w14:solidFill>
          </w14:textFill>
        </w:rPr>
        <w:t>评标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程序</w:t>
      </w:r>
      <w:r>
        <w:rPr>
          <w:rFonts w:hint="eastAsia" w:ascii="方正仿宋_GBK" w:hAnsi="方正仿宋_GBK" w:eastAsia="方正仿宋_GBK" w:cs="方正仿宋_GBK"/>
          <w:color w:val="000000" w:themeColor="text1"/>
          <w:sz w:val="32"/>
          <w:szCs w:val="32"/>
          <w14:textFill>
            <w14:solidFill>
              <w14:schemeClr w14:val="tx1"/>
            </w14:solidFill>
          </w14:textFill>
        </w:rPr>
        <w:t>按：资格审查→符合性评审→详细评审→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编写</w:t>
      </w:r>
      <w:r>
        <w:rPr>
          <w:rFonts w:hint="eastAsia" w:ascii="方正仿宋_GBK" w:hAnsi="方正仿宋_GBK" w:eastAsia="方正仿宋_GBK" w:cs="方正仿宋_GBK"/>
          <w:color w:val="000000" w:themeColor="text1"/>
          <w:sz w:val="32"/>
          <w:szCs w:val="32"/>
          <w14:textFill>
            <w14:solidFill>
              <w14:schemeClr w14:val="tx1"/>
            </w14:solidFill>
          </w14:textFill>
        </w:rPr>
        <w:t>评标报告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5"/>
        </w:numPr>
        <w:kinsoku/>
        <w:wordWrap/>
        <w:overflowPunct/>
        <w:topLinePunct w:val="0"/>
        <w:autoSpaceDE/>
        <w:autoSpaceDN/>
        <w:bidi w:val="0"/>
        <w:snapToGrid/>
        <w:spacing w:beforeAutospacing="0" w:afterAutospacing="0" w:line="460" w:lineRule="exact"/>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对响应文件进行全面评审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评审分为资格审查和符合性检查。</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资格审查</w:t>
      </w:r>
      <w:bookmarkEnd w:id="17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依据询价采购文件的规定，对响应文件中的资格部份</w:t>
      </w:r>
      <w:r>
        <w:rPr>
          <w:rFonts w:hint="eastAsia" w:ascii="方正仿宋_GBK" w:hAnsi="方正仿宋_GBK" w:eastAsia="方正仿宋_GBK" w:cs="方正仿宋_GBK"/>
          <w:sz w:val="32"/>
          <w:szCs w:val="32"/>
          <w:lang w:val="en-US" w:eastAsia="zh-CN"/>
        </w:rPr>
        <w:t>资料等进行审查，以确定参与询价供应商是否为合格的供应商。详细评审内容如下：</w:t>
      </w:r>
    </w:p>
    <w:p>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tbl>
      <w:tblPr>
        <w:tblStyle w:val="16"/>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left="0" w:right="0"/>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auto"/>
                <w:kern w:val="0"/>
                <w:sz w:val="28"/>
                <w:szCs w:val="28"/>
                <w:highlight w:val="none"/>
                <w:lang w:val="en-US" w:eastAsia="zh-CN"/>
              </w:rPr>
              <w:t>供应商具有独立承担民事责任的能力（提供营业执照扫描件）</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cs="方正仿宋_GBK"/>
                <w:color w:val="000000" w:themeColor="text1"/>
                <w:sz w:val="28"/>
                <w:szCs w:val="28"/>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须提供缴税所属时间在</w:t>
            </w:r>
            <w:r>
              <w:rPr>
                <w:rFonts w:hint="eastAsia" w:ascii="方正仿宋_GBK" w:hAnsi="方正仿宋_GBK" w:cs="方正仿宋_GBK"/>
                <w:color w:val="auto"/>
                <w:kern w:val="0"/>
                <w:sz w:val="28"/>
                <w:szCs w:val="28"/>
                <w:highlight w:val="none"/>
                <w:lang w:val="en-US" w:eastAsia="zh-CN"/>
              </w:rPr>
              <w:t>2024年6月</w:t>
            </w:r>
            <w:r>
              <w:rPr>
                <w:rFonts w:hint="eastAsia" w:ascii="方正仿宋_GBK" w:hAnsi="方正仿宋_GBK" w:eastAsia="方正仿宋_GBK" w:cs="方正仿宋_GBK"/>
                <w:color w:val="auto"/>
                <w:kern w:val="0"/>
                <w:sz w:val="28"/>
                <w:szCs w:val="28"/>
                <w:highlight w:val="none"/>
                <w:lang w:val="en-US" w:eastAsia="zh-CN"/>
              </w:rPr>
              <w:t>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eastAsia" w:ascii="方正仿宋_GBK" w:hAnsi="方正仿宋_GBK" w:eastAsia="方正仿宋_GBK" w:cs="方正仿宋_GBK"/>
                <w:b w:val="0"/>
                <w:bCs w:val="0"/>
                <w:color w:val="auto"/>
                <w:kern w:val="2"/>
                <w:sz w:val="28"/>
                <w:szCs w:val="28"/>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cs="方正仿宋_GBK"/>
                <w:color w:val="000000" w:themeColor="text1"/>
                <w:sz w:val="28"/>
                <w:szCs w:val="28"/>
                <w:lang w:val="en-US" w:eastAsia="zh-CN"/>
                <w14:textFill>
                  <w14:solidFill>
                    <w14:schemeClr w14:val="tx1"/>
                  </w14:solidFill>
                </w14:textFill>
              </w:rPr>
              <w:t>3</w:t>
            </w:r>
          </w:p>
        </w:tc>
        <w:tc>
          <w:tcPr>
            <w:tcW w:w="8407" w:type="dxa"/>
            <w:noWrap/>
            <w:vAlign w:val="center"/>
          </w:tcPr>
          <w:p>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供应商具有依法缴纳社会保障资金的良好记录</w:t>
            </w:r>
          </w:p>
          <w:p>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须提供缴费所属时间在</w:t>
            </w:r>
            <w:r>
              <w:rPr>
                <w:rFonts w:hint="eastAsia" w:ascii="方正仿宋_GBK" w:hAnsi="方正仿宋_GBK" w:cs="方正仿宋_GBK"/>
                <w:color w:val="auto"/>
                <w:kern w:val="0"/>
                <w:sz w:val="28"/>
                <w:szCs w:val="28"/>
                <w:highlight w:val="none"/>
                <w:lang w:val="en-US" w:eastAsia="zh-CN"/>
              </w:rPr>
              <w:t>2024年6月</w:t>
            </w:r>
            <w:r>
              <w:rPr>
                <w:rFonts w:hint="eastAsia" w:ascii="方正仿宋_GBK" w:hAnsi="方正仿宋_GBK" w:eastAsia="方正仿宋_GBK" w:cs="方正仿宋_GBK"/>
                <w:color w:val="auto"/>
                <w:kern w:val="0"/>
                <w:sz w:val="28"/>
                <w:szCs w:val="28"/>
                <w:highlight w:val="none"/>
                <w:lang w:val="en-US" w:eastAsia="zh-CN"/>
              </w:rPr>
              <w:t>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方正仿宋_GBK" w:hAnsi="方正仿宋_GBK" w:cs="方正仿宋_GBK"/>
                <w:color w:val="auto"/>
                <w:kern w:val="0"/>
                <w:sz w:val="28"/>
                <w:szCs w:val="28"/>
                <w:highlight w:val="none"/>
                <w:lang w:val="en-US" w:eastAsia="zh-CN"/>
              </w:rPr>
              <w:t>及个体工商户</w:t>
            </w:r>
            <w:r>
              <w:rPr>
                <w:rFonts w:hint="eastAsia" w:ascii="方正仿宋_GBK" w:hAnsi="方正仿宋_GBK" w:eastAsia="方正仿宋_GBK" w:cs="方正仿宋_GBK"/>
                <w:color w:val="auto"/>
                <w:kern w:val="0"/>
                <w:sz w:val="28"/>
                <w:szCs w:val="28"/>
                <w:highlight w:val="none"/>
                <w:lang w:val="en-US" w:eastAsia="zh-CN"/>
              </w:rPr>
              <w:t>无须提供证明材料</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4</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供应商具有履行合同所必需的设备和专业技术能力（投标人提供书面声明或证明材料）</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5</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6</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本项目的特定资格要求：投标人为代理商或经销商的，须提供危化品经营许可证，投标人为制造商的，须提供备案证，注：提供的证件均在有效期范围内。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7</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法律、行政法规规定的其他条件：根据财库〔2016〕125号文件《财政部关于在政府采购活动中查询及使用信用记录有关问题的通知》规定，投标人未被列入</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信用中国</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网站（www.creditchina.gov.cn）</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失信被执行人、政府采购严重违法失信行为记录名单、重大税收违法失信主体</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及中国政府采购网（www.ccgp.gov.cn）</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政府采购严重违法失信行为信息记录</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8</w:t>
            </w:r>
          </w:p>
        </w:tc>
        <w:tc>
          <w:tcPr>
            <w:tcW w:w="8407" w:type="dxa"/>
            <w:noWrap/>
            <w:vAlign w:val="center"/>
          </w:tcPr>
          <w:p>
            <w:pPr>
              <w:pStyle w:val="2"/>
              <w:keepNext w:val="0"/>
              <w:keepLines w:val="0"/>
              <w:pageBreakBefore w:val="0"/>
              <w:widowControl w:val="0"/>
              <w:kinsoku/>
              <w:wordWrap/>
              <w:overflowPunct/>
              <w:topLinePunct w:val="0"/>
              <w:autoSpaceDE/>
              <w:autoSpaceDN/>
              <w:bidi w:val="0"/>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根据《中华人民共和国政府采购法实施条例》第十八条规定，单位负责人为同一人或者存在直接控股、管理关系的不同供应商，不得参加同一合同项下的采购活动（提供书面声明即可）</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9</w:t>
            </w:r>
          </w:p>
        </w:tc>
        <w:tc>
          <w:tcPr>
            <w:tcW w:w="8407" w:type="dxa"/>
            <w:noWrap/>
            <w:vAlign w:val="center"/>
          </w:tcPr>
          <w:p>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本项目不接受联合体投标（提供书面声明即可）</w:t>
            </w:r>
            <w:r>
              <w:rPr>
                <w:rFonts w:hint="eastAsia" w:ascii="方正仿宋_GBK" w:hAnsi="方正仿宋_GBK" w:cs="方正仿宋_GBK"/>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b/>
                <w:bCs/>
                <w:color w:val="auto"/>
                <w:kern w:val="2"/>
                <w:sz w:val="28"/>
                <w:szCs w:val="28"/>
                <w:u w:val="none" w:color="auto"/>
                <w:lang w:val="en-US" w:eastAsia="zh-CN" w:bidi="ar-SA"/>
              </w:rPr>
              <w:t>注：只有完全满足以上条件的申请人资格要求，才可参与符合性审查（资料不齐的视为资格审查不通过）。如投标人为了满足以上条件虚报材料，一经查实，该询价响应文件将以无效处理。</w:t>
            </w:r>
          </w:p>
        </w:tc>
      </w:tr>
    </w:tbl>
    <w:p>
      <w:pPr>
        <w:keepNext w:val="0"/>
        <w:keepLines w:val="0"/>
        <w:pageBreakBefore w:val="0"/>
        <w:widowControl w:val="0"/>
        <w:numPr>
          <w:ilvl w:val="0"/>
          <w:numId w:val="6"/>
        </w:numPr>
        <w:kinsoku/>
        <w:wordWrap/>
        <w:overflowPunct/>
        <w:topLinePunct w:val="0"/>
        <w:autoSpaceDE/>
        <w:autoSpaceDN/>
        <w:bidi w:val="0"/>
        <w:adjustRightInd/>
        <w:snapToGrid/>
        <w:spacing w:line="440" w:lineRule="exact"/>
        <w:textAlignment w:val="auto"/>
        <w:rPr>
          <w:rFonts w:hint="eastAsia"/>
          <w:sz w:val="28"/>
          <w:szCs w:val="22"/>
          <w:lang w:val="en-US" w:eastAsia="zh-CN"/>
        </w:rPr>
      </w:pPr>
      <w:bookmarkStart w:id="178" w:name="_Toc5382"/>
      <w:r>
        <w:rPr>
          <w:rFonts w:hint="eastAsia"/>
          <w:sz w:val="28"/>
          <w:szCs w:val="22"/>
          <w:lang w:val="en-US" w:eastAsia="zh-CN"/>
        </w:rPr>
        <w:t>符合性评审</w:t>
      </w:r>
      <w:bookmarkEnd w:id="178"/>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6"/>
        <w:tblW w:w="9955"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45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未按要求提供</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法定代表人身份证明书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未按要求提供</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法定代表人授权委托书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不</w:t>
            </w:r>
            <w:r>
              <w:rPr>
                <w:rFonts w:hint="eastAsia" w:ascii="方正仿宋_GBK" w:hAnsi="方正仿宋_GBK" w:eastAsia="方正仿宋_GBK" w:cs="方正仿宋_GBK"/>
                <w:color w:val="000000" w:themeColor="text1"/>
                <w:sz w:val="28"/>
                <w:szCs w:val="28"/>
                <w14:textFill>
                  <w14:solidFill>
                    <w14:schemeClr w14:val="tx1"/>
                  </w14:solidFill>
                </w14:textFill>
              </w:rPr>
              <w:t>完整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8"/>
                <w:szCs w:val="28"/>
                <w14:textFill>
                  <w14:solidFill>
                    <w14:schemeClr w14:val="tx1"/>
                  </w14:solidFill>
                </w14:textFill>
              </w:rPr>
              <w:t>有</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多</w:t>
            </w:r>
            <w:r>
              <w:rPr>
                <w:rFonts w:hint="eastAsia" w:ascii="方正仿宋_GBK" w:hAnsi="方正仿宋_GBK" w:eastAsia="方正仿宋_GBK" w:cs="方正仿宋_GBK"/>
                <w:color w:val="000000" w:themeColor="text1"/>
                <w:sz w:val="28"/>
                <w:szCs w:val="28"/>
                <w14:textFill>
                  <w14:solidFill>
                    <w14:schemeClr w14:val="tx1"/>
                  </w14:solidFill>
                </w14:textFill>
              </w:rPr>
              <w:t>个报价方案</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无效投标</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情形</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符合</w:t>
            </w:r>
            <w:r>
              <w:rPr>
                <w:rFonts w:hint="eastAsia" w:ascii="方正仿宋_GBK" w:hAnsi="方正仿宋_GBK" w:eastAsia="方正仿宋_GBK" w:cs="方正仿宋_GBK"/>
                <w:b/>
                <w:bCs/>
                <w:color w:val="000000" w:themeColor="text1"/>
                <w:sz w:val="28"/>
                <w:szCs w:val="28"/>
                <w14:textFill>
                  <w14:solidFill>
                    <w14:schemeClr w14:val="tx1"/>
                  </w14:solidFill>
                </w14:textFill>
              </w:rPr>
              <w:t>第二章</w:t>
            </w:r>
            <w:r>
              <w:rPr>
                <w:rFonts w:hint="eastAsia" w:ascii="方正仿宋_GBK" w:hAnsi="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8"/>
                <w:szCs w:val="28"/>
                <w14:textFill>
                  <w14:solidFill>
                    <w14:schemeClr w14:val="tx1"/>
                  </w14:solidFill>
                </w14:textFill>
              </w:rPr>
              <w:t>供应商须知前附表</w:t>
            </w:r>
            <w:r>
              <w:rPr>
                <w:rFonts w:hint="eastAsia" w:ascii="方正仿宋_GBK" w:hAnsi="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第</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项规定</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的内容</w:t>
            </w:r>
            <w:r>
              <w:rPr>
                <w:rFonts w:hint="eastAsia" w:ascii="方正仿宋_GBK" w:hAnsi="方正仿宋_GBK" w:cs="方正仿宋_GBK"/>
                <w:color w:val="000000" w:themeColor="text1"/>
                <w:sz w:val="28"/>
                <w:szCs w:val="2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不</w:t>
            </w:r>
            <w:r>
              <w:rPr>
                <w:rFonts w:hint="eastAsia" w:ascii="方正仿宋_GBK" w:hAnsi="方正仿宋_GBK" w:eastAsia="方正仿宋_GBK" w:cs="方正仿宋_GBK"/>
                <w:color w:val="000000" w:themeColor="text1"/>
                <w:sz w:val="28"/>
                <w:szCs w:val="28"/>
                <w14:textFill>
                  <w14:solidFill>
                    <w14:schemeClr w14:val="tx1"/>
                  </w14:solidFill>
                </w14:textFill>
              </w:rPr>
              <w:t>符合第四章</w:t>
            </w: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询价</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响应文件格式</w:t>
            </w: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中规定的要求</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2"/>
          <w:lang w:val="en-US" w:eastAsia="zh-CN"/>
        </w:rPr>
      </w:pPr>
      <w:bookmarkStart w:id="179" w:name="_Toc29119"/>
      <w:r>
        <w:rPr>
          <w:rFonts w:hint="eastAsia"/>
          <w:sz w:val="28"/>
          <w:szCs w:val="22"/>
          <w:lang w:val="en-US" w:eastAsia="zh-CN"/>
        </w:rPr>
        <w:t>3、详细评审</w:t>
      </w:r>
    </w:p>
    <w:bookmarkEnd w:id="179"/>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询价小组</w:t>
      </w:r>
      <w:r>
        <w:rPr>
          <w:rFonts w:hint="eastAsia" w:ascii="方正仿宋_GBK" w:hAnsi="方正仿宋_GBK" w:eastAsia="方正仿宋_GBK" w:cs="方正仿宋_GBK"/>
          <w:sz w:val="28"/>
          <w:szCs w:val="28"/>
        </w:rPr>
        <w:t>应当按照询价文件中规定的评标方法和标准，对符合性审查合格的响应文件进行商务和技术评估，综合比较与评价。</w:t>
      </w:r>
    </w:p>
    <w:p>
      <w:pPr>
        <w:pStyle w:val="2"/>
        <w:pageBreakBefore w:val="0"/>
        <w:widowControl w:val="0"/>
        <w:numPr>
          <w:ilvl w:val="0"/>
          <w:numId w:val="5"/>
        </w:numPr>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询价响应处理。</w:t>
      </w:r>
    </w:p>
    <w:p>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（三）比较与定标</w:t>
      </w:r>
    </w:p>
    <w:p>
      <w:pPr>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经过上述</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对响应文件进行全面评审</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和</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澄清有关问题</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两个环节之后，询价小组将按照前述的评标办法，</w:t>
      </w:r>
      <w:r>
        <w:rPr>
          <w:rFonts w:hint="eastAsia" w:ascii="方正仿宋_GBK" w:hAnsi="方正仿宋_GBK" w:eastAsia="方正仿宋_GBK" w:cs="方正仿宋_GBK"/>
          <w:sz w:val="28"/>
          <w:szCs w:val="28"/>
        </w:rPr>
        <w:t>按照</w:t>
      </w:r>
      <w:r>
        <w:rPr>
          <w:rFonts w:hint="eastAsia" w:ascii="方正仿宋_GBK" w:hAnsi="方正仿宋_GBK" w:cs="方正仿宋_GBK"/>
          <w:sz w:val="28"/>
          <w:szCs w:val="28"/>
          <w:lang w:eastAsia="zh-CN"/>
        </w:rPr>
        <w:t>合计金额的大</w:t>
      </w:r>
      <w:r>
        <w:rPr>
          <w:rFonts w:hint="eastAsia" w:ascii="方正仿宋_GBK" w:hAnsi="方正仿宋_GBK" w:eastAsia="方正仿宋_GBK" w:cs="方正仿宋_GBK"/>
          <w:bCs w:val="0"/>
          <w:color w:val="auto"/>
          <w:kern w:val="2"/>
          <w:sz w:val="28"/>
          <w:szCs w:val="28"/>
          <w:lang w:val="en-US" w:eastAsia="zh-CN" w:bidi="ar-SA"/>
        </w:rPr>
        <w:t>小由低到高的顺序推荐1-3家成交候选人。响应文件满足询价文件全部实质性要求且</w:t>
      </w:r>
      <w:r>
        <w:rPr>
          <w:rFonts w:hint="eastAsia" w:ascii="方正仿宋_GBK" w:hAnsi="方正仿宋_GBK" w:cs="方正仿宋_GBK"/>
          <w:sz w:val="28"/>
          <w:szCs w:val="28"/>
          <w:lang w:eastAsia="zh-CN"/>
        </w:rPr>
        <w:t>合计金额最低</w:t>
      </w:r>
      <w:r>
        <w:rPr>
          <w:rFonts w:hint="eastAsia" w:ascii="方正仿宋_GBK" w:hAnsi="方正仿宋_GBK" w:eastAsia="方正仿宋_GBK" w:cs="方正仿宋_GBK"/>
          <w:bCs w:val="0"/>
          <w:color w:val="auto"/>
          <w:kern w:val="2"/>
          <w:sz w:val="28"/>
          <w:szCs w:val="28"/>
          <w:lang w:val="en-US" w:eastAsia="zh-CN" w:bidi="ar-SA"/>
        </w:rPr>
        <w:t>的供应商为排名第一的成交候选人。若排名第一成交候选人放弃中标的，由排名二顺序成交候选人进行递补，依次类推或采购人重新选择招标采购。</w:t>
      </w:r>
    </w:p>
    <w:p>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（四）编制评标报告</w:t>
      </w:r>
    </w:p>
    <w:p>
      <w:pPr>
        <w:pStyle w:val="2"/>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由询价小组编写询价报告，并对报告内容负责。</w:t>
      </w:r>
    </w:p>
    <w:p>
      <w:pPr>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640" w:firstLineChars="200"/>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大理州第二人民医院2025年度部份高效液相色谱试剂耗材采购项目（二次）</w:t>
      </w:r>
      <w:r>
        <w:rPr>
          <w:rFonts w:hint="default" w:ascii="Times New Roman" w:hAnsi="Times New Roman" w:eastAsia="方正仿宋_GBK" w:cs="Times New Roman"/>
          <w:sz w:val="32"/>
          <w:szCs w:val="32"/>
          <w:lang w:val="en-US" w:eastAsia="zh-CN"/>
        </w:rPr>
        <w:t>供应商报名表</w:t>
      </w:r>
    </w:p>
    <w:tbl>
      <w:tblPr>
        <w:tblStyle w:val="17"/>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pPr>
        <w:pStyle w:val="2"/>
        <w:rPr>
          <w:rFonts w:hint="default" w:ascii="Times New Roman" w:hAnsi="Times New Roman" w:cs="Times New Roman"/>
          <w:lang w:val="en-US" w:eastAsia="zh-CN"/>
        </w:rPr>
      </w:pPr>
      <w:r>
        <w:rPr>
          <w:rFonts w:hint="default"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方正仿宋_GBK" w:hAnsi="方正仿宋_GBK" w:eastAsia="方正仿宋_GBK" w:cs="方正仿宋_GBK"/>
        <w:sz w:val="21"/>
        <w:szCs w:val="32"/>
        <w:lang w:val="en-US" w:eastAsia="zh-CN"/>
      </w:rPr>
    </w:pPr>
    <w:r>
      <w:rPr>
        <w:rFonts w:hint="eastAsia" w:ascii="方正仿宋_GBK" w:hAnsi="方正仿宋_GBK" w:eastAsia="方正仿宋_GBK" w:cs="方正仿宋_GBK"/>
        <w:sz w:val="21"/>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方正仿宋_GBK" w:hAnsi="方正仿宋_GBK" w:eastAsia="方正仿宋_GBK" w:cs="方正仿宋_GBK"/>
        <w:sz w:val="21"/>
        <w:szCs w:val="32"/>
        <w:lang w:eastAsia="zh-CN"/>
      </w:rPr>
      <w:t>设备科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Times New Roman" w:hAnsi="Times New Roman" w:cs="Times New Roman"/>
        <w:b w:val="0"/>
        <w:bCs w:val="0"/>
        <w:color w:val="auto"/>
        <w:sz w:val="24"/>
        <w:szCs w:val="24"/>
        <w:u w:val="none" w:color="auto"/>
        <w:lang w:val="en-US" w:eastAsia="zh-CN"/>
      </w:rPr>
    </w:pPr>
  </w:p>
  <w:p>
    <w:pPr>
      <w:pStyle w:val="12"/>
      <w:rPr>
        <w:rFonts w:hint="eastAsia" w:ascii="Times New Roman" w:hAnsi="Times New Roman" w:cs="Times New Roman"/>
        <w:b w:val="0"/>
        <w:bCs w:val="0"/>
        <w:color w:val="auto"/>
        <w:sz w:val="24"/>
        <w:szCs w:val="24"/>
        <w:u w:val="none" w:color="auto"/>
        <w:lang w:val="en-US" w:eastAsia="zh-CN"/>
      </w:rPr>
    </w:pPr>
  </w:p>
  <w:p>
    <w:pPr>
      <w:pStyle w:val="12"/>
      <w:rPr>
        <w:rFonts w:hint="eastAsia" w:ascii="Times New Roman" w:hAnsi="Times New Roman" w:cs="Times New Roman"/>
        <w:b w:val="0"/>
        <w:bCs w:val="0"/>
        <w:color w:val="auto"/>
        <w:sz w:val="24"/>
        <w:szCs w:val="24"/>
        <w:u w:val="none" w:color="auto"/>
        <w:lang w:val="en-US" w:eastAsia="zh-CN"/>
      </w:rPr>
    </w:pPr>
  </w:p>
  <w:p>
    <w:pPr>
      <w:pStyle w:val="12"/>
      <w:rPr>
        <w:rFonts w:hint="eastAsia" w:ascii="Times New Roman" w:hAnsi="Times New Roman" w:cs="Times New Roman"/>
        <w:b w:val="0"/>
        <w:bCs w:val="0"/>
        <w:color w:val="auto"/>
        <w:sz w:val="24"/>
        <w:szCs w:val="24"/>
        <w:u w:val="none" w:color="auto"/>
        <w:lang w:val="en-US" w:eastAsia="zh-CN"/>
      </w:rPr>
    </w:pPr>
    <w:r>
      <w:rPr>
        <w:rFonts w:hint="eastAsia" w:ascii="Times New Roman" w:hAnsi="Times New Roman" w:cs="Times New Roman"/>
        <w:b w:val="0"/>
        <w:bCs w:val="0"/>
        <w:color w:val="auto"/>
        <w:sz w:val="24"/>
        <w:szCs w:val="24"/>
        <w:u w:val="none" w:color="auto"/>
        <w:lang w:val="en-US" w:eastAsia="zh-CN"/>
      </w:rPr>
      <w:t xml:space="preserve">大理州第二人民医院2025年度部份高效液相色谱试剂耗材采购项目（二次）     </w:t>
    </w:r>
  </w:p>
  <w:p>
    <w:pPr>
      <w:pStyle w:val="12"/>
      <w:rPr>
        <w:sz w:val="15"/>
        <w:szCs w:val="21"/>
      </w:rPr>
    </w:pPr>
    <w:r>
      <w:rPr>
        <w:rFonts w:hint="eastAsia" w:ascii="Times New Roman" w:hAnsi="Times New Roman" w:cs="Times New Roman"/>
        <w:b w:val="0"/>
        <w:bCs w:val="0"/>
        <w:color w:val="auto"/>
        <w:sz w:val="24"/>
        <w:szCs w:val="24"/>
        <w:u w:val="none" w:color="auto"/>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方正仿宋_GBK" w:hAnsi="方正仿宋_GBK" w:eastAsia="方正仿宋_GBK" w:cs="方正仿宋_GBK"/>
        <w:sz w:val="21"/>
        <w:szCs w:val="21"/>
        <w:lang w:val="en-US" w:eastAsia="zh-CN"/>
      </w:rPr>
    </w:pPr>
    <w:r>
      <w:rPr>
        <w:rFonts w:hint="eastAsia" w:ascii="方正仿宋_GBK" w:hAnsi="方正仿宋_GBK" w:cs="方正仿宋_GBK"/>
        <w:b w:val="0"/>
        <w:bCs w:val="0"/>
        <w:color w:val="auto"/>
        <w:sz w:val="21"/>
        <w:szCs w:val="21"/>
        <w:u w:val="none" w:color="auto"/>
        <w:lang w:val="en-US" w:eastAsia="zh-CN"/>
      </w:rPr>
      <w:t>大理州第二人民医院2025年度部份高效液相色谱试剂耗材采购项目（二次）</w:t>
    </w:r>
    <w:r>
      <w:rPr>
        <w:rFonts w:hint="eastAsia" w:ascii="方正仿宋_GBK" w:hAnsi="方正仿宋_GBK" w:eastAsia="方正仿宋_GBK" w:cs="方正仿宋_GBK"/>
        <w:b w:val="0"/>
        <w:bCs w:val="0"/>
        <w:color w:val="auto"/>
        <w:sz w:val="21"/>
        <w:szCs w:val="21"/>
        <w:u w:val="none" w:color="auto"/>
        <w:lang w:val="en-US"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21A2D09A"/>
    <w:multiLevelType w:val="singleLevel"/>
    <w:tmpl w:val="21A2D09A"/>
    <w:lvl w:ilvl="0" w:tentative="0">
      <w:start w:val="1"/>
      <w:numFmt w:val="chineseCounting"/>
      <w:suff w:val="nothing"/>
      <w:lvlText w:val="（%1）"/>
      <w:lvlJc w:val="left"/>
      <w:rPr>
        <w:rFonts w:hint="eastAsia"/>
      </w:rPr>
    </w:lvl>
  </w:abstractNum>
  <w:abstractNum w:abstractNumId="3">
    <w:nsid w:val="2AB98805"/>
    <w:multiLevelType w:val="singleLevel"/>
    <w:tmpl w:val="2AB98805"/>
    <w:lvl w:ilvl="0" w:tentative="0">
      <w:start w:val="1"/>
      <w:numFmt w:val="decimal"/>
      <w:suff w:val="nothing"/>
      <w:lvlText w:val="%1、"/>
      <w:lvlJc w:val="left"/>
    </w:lvl>
  </w:abstractNum>
  <w:abstractNum w:abstractNumId="4">
    <w:nsid w:val="49D60623"/>
    <w:multiLevelType w:val="singleLevel"/>
    <w:tmpl w:val="49D60623"/>
    <w:lvl w:ilvl="0" w:tentative="0">
      <w:start w:val="1"/>
      <w:numFmt w:val="chineseCounting"/>
      <w:suff w:val="space"/>
      <w:lvlText w:val="第%1章"/>
      <w:lvlJc w:val="left"/>
      <w:rPr>
        <w:rFonts w:hint="eastAsia"/>
      </w:rPr>
    </w:lvl>
  </w:abstractNum>
  <w:abstractNum w:abstractNumId="5">
    <w:nsid w:val="76429CEE"/>
    <w:multiLevelType w:val="singleLevel"/>
    <w:tmpl w:val="76429CEE"/>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000000"/>
    <w:rsid w:val="000E2031"/>
    <w:rsid w:val="01255169"/>
    <w:rsid w:val="01465165"/>
    <w:rsid w:val="018D0FD6"/>
    <w:rsid w:val="01936EA0"/>
    <w:rsid w:val="019A39C5"/>
    <w:rsid w:val="01AD45C1"/>
    <w:rsid w:val="021D5A27"/>
    <w:rsid w:val="022F72B6"/>
    <w:rsid w:val="0263135A"/>
    <w:rsid w:val="031E1EB3"/>
    <w:rsid w:val="034F3FBF"/>
    <w:rsid w:val="038C2F60"/>
    <w:rsid w:val="039A62C8"/>
    <w:rsid w:val="03D128DC"/>
    <w:rsid w:val="03D56B8F"/>
    <w:rsid w:val="03F62D17"/>
    <w:rsid w:val="04096B57"/>
    <w:rsid w:val="04124A35"/>
    <w:rsid w:val="042A5CBB"/>
    <w:rsid w:val="04582133"/>
    <w:rsid w:val="04A7469F"/>
    <w:rsid w:val="04DA4448"/>
    <w:rsid w:val="04E64753"/>
    <w:rsid w:val="04EF3205"/>
    <w:rsid w:val="05AD5E80"/>
    <w:rsid w:val="05B237CA"/>
    <w:rsid w:val="05C75370"/>
    <w:rsid w:val="05DA0C08"/>
    <w:rsid w:val="063E7B7D"/>
    <w:rsid w:val="066D1EF6"/>
    <w:rsid w:val="06B13557"/>
    <w:rsid w:val="06FA553D"/>
    <w:rsid w:val="07497B38"/>
    <w:rsid w:val="079B3558"/>
    <w:rsid w:val="07E02D1B"/>
    <w:rsid w:val="07FC3684"/>
    <w:rsid w:val="088A7F8C"/>
    <w:rsid w:val="08977FAB"/>
    <w:rsid w:val="08B9151D"/>
    <w:rsid w:val="0932124D"/>
    <w:rsid w:val="095B449C"/>
    <w:rsid w:val="09670CFE"/>
    <w:rsid w:val="099F5D88"/>
    <w:rsid w:val="09A25DAD"/>
    <w:rsid w:val="09A3532C"/>
    <w:rsid w:val="09A4202B"/>
    <w:rsid w:val="09E00CA7"/>
    <w:rsid w:val="0A572533"/>
    <w:rsid w:val="0A574046"/>
    <w:rsid w:val="0A575B5C"/>
    <w:rsid w:val="0AB92A4E"/>
    <w:rsid w:val="0AE70392"/>
    <w:rsid w:val="0B033DE6"/>
    <w:rsid w:val="0BA42B36"/>
    <w:rsid w:val="0BB64E1B"/>
    <w:rsid w:val="0BDA333E"/>
    <w:rsid w:val="0BF36D9E"/>
    <w:rsid w:val="0C9B7937"/>
    <w:rsid w:val="0C9E2C56"/>
    <w:rsid w:val="0D111EA9"/>
    <w:rsid w:val="0D5E7E0F"/>
    <w:rsid w:val="0D645222"/>
    <w:rsid w:val="0D724825"/>
    <w:rsid w:val="0DA47C8D"/>
    <w:rsid w:val="0DC87621"/>
    <w:rsid w:val="0DDA1E79"/>
    <w:rsid w:val="0E023F9F"/>
    <w:rsid w:val="0E0F176F"/>
    <w:rsid w:val="0E275002"/>
    <w:rsid w:val="0E6C5D5E"/>
    <w:rsid w:val="0E7B2E13"/>
    <w:rsid w:val="0ECA2773"/>
    <w:rsid w:val="0EE51C4E"/>
    <w:rsid w:val="0EEE4972"/>
    <w:rsid w:val="0EEE7787"/>
    <w:rsid w:val="0EF81F76"/>
    <w:rsid w:val="0EFB7C61"/>
    <w:rsid w:val="0F371CAE"/>
    <w:rsid w:val="0F6D4BB9"/>
    <w:rsid w:val="0FB43427"/>
    <w:rsid w:val="0FDA38CE"/>
    <w:rsid w:val="10933BE6"/>
    <w:rsid w:val="10B55F11"/>
    <w:rsid w:val="10B738C5"/>
    <w:rsid w:val="10B92561"/>
    <w:rsid w:val="10EC06C1"/>
    <w:rsid w:val="10FE7C28"/>
    <w:rsid w:val="11456516"/>
    <w:rsid w:val="11506EE7"/>
    <w:rsid w:val="116D1C82"/>
    <w:rsid w:val="11A36FF9"/>
    <w:rsid w:val="11A57251"/>
    <w:rsid w:val="11E666E6"/>
    <w:rsid w:val="121F7463"/>
    <w:rsid w:val="12217BE4"/>
    <w:rsid w:val="122A44DD"/>
    <w:rsid w:val="1289114F"/>
    <w:rsid w:val="12B05250"/>
    <w:rsid w:val="12C73D4C"/>
    <w:rsid w:val="12E0398F"/>
    <w:rsid w:val="132A12FE"/>
    <w:rsid w:val="13534264"/>
    <w:rsid w:val="13642FC2"/>
    <w:rsid w:val="13794A33"/>
    <w:rsid w:val="13AF127B"/>
    <w:rsid w:val="13D33F3A"/>
    <w:rsid w:val="148D6069"/>
    <w:rsid w:val="14943C1C"/>
    <w:rsid w:val="14AB025C"/>
    <w:rsid w:val="14CC5BE8"/>
    <w:rsid w:val="14D074A3"/>
    <w:rsid w:val="14DB07BD"/>
    <w:rsid w:val="14F5787A"/>
    <w:rsid w:val="151463A9"/>
    <w:rsid w:val="15B82CF2"/>
    <w:rsid w:val="15CB073F"/>
    <w:rsid w:val="15F32C5E"/>
    <w:rsid w:val="16024B90"/>
    <w:rsid w:val="1652199B"/>
    <w:rsid w:val="16530612"/>
    <w:rsid w:val="16695271"/>
    <w:rsid w:val="16DF111B"/>
    <w:rsid w:val="16F2257A"/>
    <w:rsid w:val="170B5C4F"/>
    <w:rsid w:val="17795FD2"/>
    <w:rsid w:val="17A32564"/>
    <w:rsid w:val="17A969E2"/>
    <w:rsid w:val="17AD5A4F"/>
    <w:rsid w:val="17C53F10"/>
    <w:rsid w:val="18706BA4"/>
    <w:rsid w:val="188E4053"/>
    <w:rsid w:val="189D0785"/>
    <w:rsid w:val="18F96061"/>
    <w:rsid w:val="18FD51FE"/>
    <w:rsid w:val="19495B8F"/>
    <w:rsid w:val="194B3691"/>
    <w:rsid w:val="1954420A"/>
    <w:rsid w:val="199015B0"/>
    <w:rsid w:val="19994430"/>
    <w:rsid w:val="19CD180A"/>
    <w:rsid w:val="1A0B7A47"/>
    <w:rsid w:val="1A7457AB"/>
    <w:rsid w:val="1A89687D"/>
    <w:rsid w:val="1A8D0876"/>
    <w:rsid w:val="1ADB5D20"/>
    <w:rsid w:val="1AEA2B45"/>
    <w:rsid w:val="1B8D55EE"/>
    <w:rsid w:val="1BE34AD8"/>
    <w:rsid w:val="1C1D6537"/>
    <w:rsid w:val="1C3E6964"/>
    <w:rsid w:val="1C55393D"/>
    <w:rsid w:val="1C8B19E5"/>
    <w:rsid w:val="1CC501FA"/>
    <w:rsid w:val="1D2B1AA8"/>
    <w:rsid w:val="1DB83067"/>
    <w:rsid w:val="1DC15C79"/>
    <w:rsid w:val="1E0E59D8"/>
    <w:rsid w:val="1E133DAD"/>
    <w:rsid w:val="1E5537A3"/>
    <w:rsid w:val="1E5D2FF8"/>
    <w:rsid w:val="1E7F38E5"/>
    <w:rsid w:val="1E8C2E80"/>
    <w:rsid w:val="1EA1209A"/>
    <w:rsid w:val="1EC155FA"/>
    <w:rsid w:val="1F854F55"/>
    <w:rsid w:val="1FD9055F"/>
    <w:rsid w:val="1FEB00BE"/>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8A51B2"/>
    <w:rsid w:val="24917717"/>
    <w:rsid w:val="24B11E02"/>
    <w:rsid w:val="251771A0"/>
    <w:rsid w:val="25856C78"/>
    <w:rsid w:val="25A85055"/>
    <w:rsid w:val="25E946DA"/>
    <w:rsid w:val="264E664C"/>
    <w:rsid w:val="26781116"/>
    <w:rsid w:val="26941253"/>
    <w:rsid w:val="26A32095"/>
    <w:rsid w:val="26B12183"/>
    <w:rsid w:val="26C93766"/>
    <w:rsid w:val="26D53D8A"/>
    <w:rsid w:val="26EE1FAC"/>
    <w:rsid w:val="272A71E6"/>
    <w:rsid w:val="27496ECB"/>
    <w:rsid w:val="27754EE2"/>
    <w:rsid w:val="27966B50"/>
    <w:rsid w:val="28085315"/>
    <w:rsid w:val="28436A25"/>
    <w:rsid w:val="284B55E4"/>
    <w:rsid w:val="28AE5C1B"/>
    <w:rsid w:val="29025F22"/>
    <w:rsid w:val="29392A67"/>
    <w:rsid w:val="294F5FAA"/>
    <w:rsid w:val="29503BAF"/>
    <w:rsid w:val="2A195FA9"/>
    <w:rsid w:val="2A877C2F"/>
    <w:rsid w:val="2AAB49FE"/>
    <w:rsid w:val="2AD757E4"/>
    <w:rsid w:val="2AFB3AB7"/>
    <w:rsid w:val="2B213552"/>
    <w:rsid w:val="2B814968"/>
    <w:rsid w:val="2B861EA7"/>
    <w:rsid w:val="2B8F2E95"/>
    <w:rsid w:val="2BBD5B0A"/>
    <w:rsid w:val="2BDB77F9"/>
    <w:rsid w:val="2CDD6D0C"/>
    <w:rsid w:val="2D19796F"/>
    <w:rsid w:val="2D436D31"/>
    <w:rsid w:val="2D4B0E41"/>
    <w:rsid w:val="2D4C20D0"/>
    <w:rsid w:val="2D4D219B"/>
    <w:rsid w:val="2D596FF3"/>
    <w:rsid w:val="2D5A07FC"/>
    <w:rsid w:val="2D836EA3"/>
    <w:rsid w:val="2DA410E6"/>
    <w:rsid w:val="2DB83A4F"/>
    <w:rsid w:val="2DE12BAD"/>
    <w:rsid w:val="2DFC771C"/>
    <w:rsid w:val="2E102305"/>
    <w:rsid w:val="2E15278D"/>
    <w:rsid w:val="2E746D02"/>
    <w:rsid w:val="2EC319E0"/>
    <w:rsid w:val="2ED418D9"/>
    <w:rsid w:val="2ED75A9E"/>
    <w:rsid w:val="2EE519EA"/>
    <w:rsid w:val="2EF0295A"/>
    <w:rsid w:val="2F030091"/>
    <w:rsid w:val="2F3A2947"/>
    <w:rsid w:val="2F826B76"/>
    <w:rsid w:val="2FD658C0"/>
    <w:rsid w:val="2FFF7EBD"/>
    <w:rsid w:val="303C1333"/>
    <w:rsid w:val="30682F93"/>
    <w:rsid w:val="30AB4D7A"/>
    <w:rsid w:val="30DE3B1E"/>
    <w:rsid w:val="30DF142C"/>
    <w:rsid w:val="30E337BC"/>
    <w:rsid w:val="30F47F4E"/>
    <w:rsid w:val="30F56A06"/>
    <w:rsid w:val="312E4B49"/>
    <w:rsid w:val="313977FE"/>
    <w:rsid w:val="3195010A"/>
    <w:rsid w:val="31CA0BF1"/>
    <w:rsid w:val="31E63907"/>
    <w:rsid w:val="320D35C4"/>
    <w:rsid w:val="324B7158"/>
    <w:rsid w:val="32752879"/>
    <w:rsid w:val="329335C7"/>
    <w:rsid w:val="33037A84"/>
    <w:rsid w:val="333A644E"/>
    <w:rsid w:val="33891D5C"/>
    <w:rsid w:val="33B84825"/>
    <w:rsid w:val="33FB3D72"/>
    <w:rsid w:val="340B74A1"/>
    <w:rsid w:val="342B5EA8"/>
    <w:rsid w:val="345566A7"/>
    <w:rsid w:val="345A3171"/>
    <w:rsid w:val="34711497"/>
    <w:rsid w:val="34A26952"/>
    <w:rsid w:val="34F17190"/>
    <w:rsid w:val="35083B02"/>
    <w:rsid w:val="351A11EA"/>
    <w:rsid w:val="352F4663"/>
    <w:rsid w:val="35B24DB4"/>
    <w:rsid w:val="35CC42BC"/>
    <w:rsid w:val="35D658E0"/>
    <w:rsid w:val="3653668E"/>
    <w:rsid w:val="36871CA2"/>
    <w:rsid w:val="36976F79"/>
    <w:rsid w:val="36B24062"/>
    <w:rsid w:val="36B72E4A"/>
    <w:rsid w:val="37012A8E"/>
    <w:rsid w:val="370D5533"/>
    <w:rsid w:val="372626E0"/>
    <w:rsid w:val="376F33EB"/>
    <w:rsid w:val="37BC22E3"/>
    <w:rsid w:val="38317C91"/>
    <w:rsid w:val="38404C1E"/>
    <w:rsid w:val="387316A3"/>
    <w:rsid w:val="390D18F4"/>
    <w:rsid w:val="39402A3F"/>
    <w:rsid w:val="3955525A"/>
    <w:rsid w:val="397354E8"/>
    <w:rsid w:val="39A7476B"/>
    <w:rsid w:val="39BE195A"/>
    <w:rsid w:val="3A114E37"/>
    <w:rsid w:val="3A7765C8"/>
    <w:rsid w:val="3A8B638D"/>
    <w:rsid w:val="3AAC3751"/>
    <w:rsid w:val="3AC910B5"/>
    <w:rsid w:val="3AD04698"/>
    <w:rsid w:val="3B33447C"/>
    <w:rsid w:val="3BBD5DA7"/>
    <w:rsid w:val="3BFB2C23"/>
    <w:rsid w:val="3C504A70"/>
    <w:rsid w:val="3C850DA6"/>
    <w:rsid w:val="3C8D160E"/>
    <w:rsid w:val="3C9C2BBB"/>
    <w:rsid w:val="3D0556E4"/>
    <w:rsid w:val="3D055932"/>
    <w:rsid w:val="3D077E68"/>
    <w:rsid w:val="3D280FDD"/>
    <w:rsid w:val="3D351990"/>
    <w:rsid w:val="3D812E51"/>
    <w:rsid w:val="3D9963D4"/>
    <w:rsid w:val="3D9F4E3A"/>
    <w:rsid w:val="3E172033"/>
    <w:rsid w:val="3EE53CDA"/>
    <w:rsid w:val="3F7063FB"/>
    <w:rsid w:val="3F9650BA"/>
    <w:rsid w:val="3FC06779"/>
    <w:rsid w:val="400B3831"/>
    <w:rsid w:val="402C6D45"/>
    <w:rsid w:val="404C5541"/>
    <w:rsid w:val="4087178C"/>
    <w:rsid w:val="41055063"/>
    <w:rsid w:val="41217F58"/>
    <w:rsid w:val="4124336F"/>
    <w:rsid w:val="4175528F"/>
    <w:rsid w:val="417B29EC"/>
    <w:rsid w:val="41A46050"/>
    <w:rsid w:val="42047947"/>
    <w:rsid w:val="420528C6"/>
    <w:rsid w:val="421608BE"/>
    <w:rsid w:val="42436425"/>
    <w:rsid w:val="42474740"/>
    <w:rsid w:val="42606FC2"/>
    <w:rsid w:val="42737235"/>
    <w:rsid w:val="427A2B43"/>
    <w:rsid w:val="42894FA6"/>
    <w:rsid w:val="429B5C7D"/>
    <w:rsid w:val="42C4498C"/>
    <w:rsid w:val="42D46229"/>
    <w:rsid w:val="42F67042"/>
    <w:rsid w:val="430B2D6B"/>
    <w:rsid w:val="4345563C"/>
    <w:rsid w:val="43955EE6"/>
    <w:rsid w:val="43DA1797"/>
    <w:rsid w:val="43E03DBF"/>
    <w:rsid w:val="43F46918"/>
    <w:rsid w:val="446C4078"/>
    <w:rsid w:val="4470687E"/>
    <w:rsid w:val="44731680"/>
    <w:rsid w:val="44874045"/>
    <w:rsid w:val="44D1058E"/>
    <w:rsid w:val="44D81A5D"/>
    <w:rsid w:val="44E5549C"/>
    <w:rsid w:val="44F65A65"/>
    <w:rsid w:val="45117124"/>
    <w:rsid w:val="45335CC5"/>
    <w:rsid w:val="45913515"/>
    <w:rsid w:val="45C14570"/>
    <w:rsid w:val="45E45CA6"/>
    <w:rsid w:val="461D2D9B"/>
    <w:rsid w:val="465809DE"/>
    <w:rsid w:val="467E3312"/>
    <w:rsid w:val="472D2DBD"/>
    <w:rsid w:val="47511C05"/>
    <w:rsid w:val="477E4090"/>
    <w:rsid w:val="47BF6E9A"/>
    <w:rsid w:val="47E25938"/>
    <w:rsid w:val="47EB2DB3"/>
    <w:rsid w:val="480A46CC"/>
    <w:rsid w:val="48990DF5"/>
    <w:rsid w:val="48D4526A"/>
    <w:rsid w:val="491771D2"/>
    <w:rsid w:val="494A0A58"/>
    <w:rsid w:val="499E3486"/>
    <w:rsid w:val="49C909CF"/>
    <w:rsid w:val="49EB4118"/>
    <w:rsid w:val="49F57A66"/>
    <w:rsid w:val="49FA0AE3"/>
    <w:rsid w:val="4A0D293E"/>
    <w:rsid w:val="4A406EA1"/>
    <w:rsid w:val="4A593AB5"/>
    <w:rsid w:val="4A5C1461"/>
    <w:rsid w:val="4A5D6323"/>
    <w:rsid w:val="4A7033AE"/>
    <w:rsid w:val="4ACF79FC"/>
    <w:rsid w:val="4B0B11E7"/>
    <w:rsid w:val="4B221BC6"/>
    <w:rsid w:val="4B2E2B37"/>
    <w:rsid w:val="4B582BB9"/>
    <w:rsid w:val="4B757264"/>
    <w:rsid w:val="4B870740"/>
    <w:rsid w:val="4B942E3B"/>
    <w:rsid w:val="4B9D3D81"/>
    <w:rsid w:val="4BAC344F"/>
    <w:rsid w:val="4BC26D5C"/>
    <w:rsid w:val="4BD76FF0"/>
    <w:rsid w:val="4BF818EC"/>
    <w:rsid w:val="4C080FF4"/>
    <w:rsid w:val="4C2D1994"/>
    <w:rsid w:val="4C3678C8"/>
    <w:rsid w:val="4C836EB6"/>
    <w:rsid w:val="4C8B3DFC"/>
    <w:rsid w:val="4CA34331"/>
    <w:rsid w:val="4CAE3AA3"/>
    <w:rsid w:val="4D364729"/>
    <w:rsid w:val="4D3B35D8"/>
    <w:rsid w:val="4D614D33"/>
    <w:rsid w:val="4D6B0C48"/>
    <w:rsid w:val="4E125A02"/>
    <w:rsid w:val="4E1C020C"/>
    <w:rsid w:val="4E233CD0"/>
    <w:rsid w:val="4E2D1B6F"/>
    <w:rsid w:val="4E804E59"/>
    <w:rsid w:val="4EBB1C98"/>
    <w:rsid w:val="4EE1474E"/>
    <w:rsid w:val="4F1D76BF"/>
    <w:rsid w:val="500A58D5"/>
    <w:rsid w:val="502E3694"/>
    <w:rsid w:val="505A3201"/>
    <w:rsid w:val="505C4EE0"/>
    <w:rsid w:val="506F7732"/>
    <w:rsid w:val="510A2119"/>
    <w:rsid w:val="512163A1"/>
    <w:rsid w:val="51422BA4"/>
    <w:rsid w:val="51761ADC"/>
    <w:rsid w:val="51AE001E"/>
    <w:rsid w:val="51B60EEB"/>
    <w:rsid w:val="51C37F85"/>
    <w:rsid w:val="51DE3F25"/>
    <w:rsid w:val="51E818D1"/>
    <w:rsid w:val="520B2236"/>
    <w:rsid w:val="520B4650"/>
    <w:rsid w:val="52293BB7"/>
    <w:rsid w:val="523F43DA"/>
    <w:rsid w:val="52D55449"/>
    <w:rsid w:val="52E5347B"/>
    <w:rsid w:val="52FA1E81"/>
    <w:rsid w:val="53143E59"/>
    <w:rsid w:val="536D1A21"/>
    <w:rsid w:val="53AB5C93"/>
    <w:rsid w:val="53BA1757"/>
    <w:rsid w:val="54091D68"/>
    <w:rsid w:val="54182AFB"/>
    <w:rsid w:val="542D20AB"/>
    <w:rsid w:val="543D69A0"/>
    <w:rsid w:val="54533E40"/>
    <w:rsid w:val="54671339"/>
    <w:rsid w:val="548320C0"/>
    <w:rsid w:val="54F05DF2"/>
    <w:rsid w:val="551A5634"/>
    <w:rsid w:val="55946E00"/>
    <w:rsid w:val="55BC2C45"/>
    <w:rsid w:val="55C40C9B"/>
    <w:rsid w:val="55CF362D"/>
    <w:rsid w:val="56365031"/>
    <w:rsid w:val="564B109D"/>
    <w:rsid w:val="56A91DDA"/>
    <w:rsid w:val="56D94BDA"/>
    <w:rsid w:val="56DC5F98"/>
    <w:rsid w:val="56F43391"/>
    <w:rsid w:val="56FE460D"/>
    <w:rsid w:val="571B2471"/>
    <w:rsid w:val="57260D05"/>
    <w:rsid w:val="573C1AAA"/>
    <w:rsid w:val="57482791"/>
    <w:rsid w:val="57A65664"/>
    <w:rsid w:val="57BF25C1"/>
    <w:rsid w:val="57C56BFC"/>
    <w:rsid w:val="5822318C"/>
    <w:rsid w:val="58483B99"/>
    <w:rsid w:val="58916243"/>
    <w:rsid w:val="58DB31EF"/>
    <w:rsid w:val="591846ED"/>
    <w:rsid w:val="591D0417"/>
    <w:rsid w:val="592022CA"/>
    <w:rsid w:val="59252B5B"/>
    <w:rsid w:val="59736B31"/>
    <w:rsid w:val="5983777F"/>
    <w:rsid w:val="5A3A3C87"/>
    <w:rsid w:val="5A5D7EFD"/>
    <w:rsid w:val="5A851453"/>
    <w:rsid w:val="5A89576C"/>
    <w:rsid w:val="5A9F0FE3"/>
    <w:rsid w:val="5AE578A3"/>
    <w:rsid w:val="5AF954D7"/>
    <w:rsid w:val="5B6A3DA5"/>
    <w:rsid w:val="5B7675E1"/>
    <w:rsid w:val="5BA91EC9"/>
    <w:rsid w:val="5BBC3F73"/>
    <w:rsid w:val="5C2251C5"/>
    <w:rsid w:val="5C3476CE"/>
    <w:rsid w:val="5C445363"/>
    <w:rsid w:val="5CD350B5"/>
    <w:rsid w:val="5CE27474"/>
    <w:rsid w:val="5CEE19DF"/>
    <w:rsid w:val="5D08563B"/>
    <w:rsid w:val="5D1A7E29"/>
    <w:rsid w:val="5D6F56BA"/>
    <w:rsid w:val="5DD717C4"/>
    <w:rsid w:val="5DE16C4D"/>
    <w:rsid w:val="5E044725"/>
    <w:rsid w:val="5E1404DF"/>
    <w:rsid w:val="5E617EAA"/>
    <w:rsid w:val="5E7E1CF2"/>
    <w:rsid w:val="5E8F213C"/>
    <w:rsid w:val="5E9542ED"/>
    <w:rsid w:val="5EB25769"/>
    <w:rsid w:val="5F051F75"/>
    <w:rsid w:val="5F195BD1"/>
    <w:rsid w:val="5F2A38B4"/>
    <w:rsid w:val="5F4227D2"/>
    <w:rsid w:val="5F5848B3"/>
    <w:rsid w:val="5FBB24DB"/>
    <w:rsid w:val="5FC73077"/>
    <w:rsid w:val="5FD77A5B"/>
    <w:rsid w:val="5FFD12D5"/>
    <w:rsid w:val="603A10FB"/>
    <w:rsid w:val="60CD0687"/>
    <w:rsid w:val="60EB4C42"/>
    <w:rsid w:val="60F20A77"/>
    <w:rsid w:val="61143D95"/>
    <w:rsid w:val="61222F3D"/>
    <w:rsid w:val="615B42BA"/>
    <w:rsid w:val="616B10E3"/>
    <w:rsid w:val="618808A5"/>
    <w:rsid w:val="619310C7"/>
    <w:rsid w:val="619C3857"/>
    <w:rsid w:val="61EC1AEA"/>
    <w:rsid w:val="62045787"/>
    <w:rsid w:val="62584832"/>
    <w:rsid w:val="625C5B20"/>
    <w:rsid w:val="625F2D4E"/>
    <w:rsid w:val="627E3DE4"/>
    <w:rsid w:val="62805DF0"/>
    <w:rsid w:val="629E2457"/>
    <w:rsid w:val="62D34E5B"/>
    <w:rsid w:val="635355C6"/>
    <w:rsid w:val="63D5610E"/>
    <w:rsid w:val="642E7C1B"/>
    <w:rsid w:val="64390AC0"/>
    <w:rsid w:val="64485070"/>
    <w:rsid w:val="647F2B28"/>
    <w:rsid w:val="64913B85"/>
    <w:rsid w:val="64983243"/>
    <w:rsid w:val="64CC56C3"/>
    <w:rsid w:val="650E650D"/>
    <w:rsid w:val="653C30AB"/>
    <w:rsid w:val="6573098A"/>
    <w:rsid w:val="65993A9C"/>
    <w:rsid w:val="65A760AB"/>
    <w:rsid w:val="660362DE"/>
    <w:rsid w:val="66193EC2"/>
    <w:rsid w:val="661C7787"/>
    <w:rsid w:val="662E0159"/>
    <w:rsid w:val="66386B49"/>
    <w:rsid w:val="664517B1"/>
    <w:rsid w:val="66534413"/>
    <w:rsid w:val="66690F9D"/>
    <w:rsid w:val="66DA441D"/>
    <w:rsid w:val="670B6D9F"/>
    <w:rsid w:val="673B5616"/>
    <w:rsid w:val="6764184A"/>
    <w:rsid w:val="67B44794"/>
    <w:rsid w:val="681A60F1"/>
    <w:rsid w:val="68974925"/>
    <w:rsid w:val="68C60D2D"/>
    <w:rsid w:val="68F40AE6"/>
    <w:rsid w:val="695B3D8F"/>
    <w:rsid w:val="696867D1"/>
    <w:rsid w:val="69A468E3"/>
    <w:rsid w:val="69E72CE3"/>
    <w:rsid w:val="6A0E05B0"/>
    <w:rsid w:val="6A34110C"/>
    <w:rsid w:val="6AA42107"/>
    <w:rsid w:val="6ABC6AD8"/>
    <w:rsid w:val="6B1346ED"/>
    <w:rsid w:val="6BAC62D7"/>
    <w:rsid w:val="6BC02AA9"/>
    <w:rsid w:val="6BC81A3A"/>
    <w:rsid w:val="6BCA3E8E"/>
    <w:rsid w:val="6BD54ED0"/>
    <w:rsid w:val="6C3863A9"/>
    <w:rsid w:val="6C4B4286"/>
    <w:rsid w:val="6C8C49D4"/>
    <w:rsid w:val="6CAB3D69"/>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A94DF6"/>
    <w:rsid w:val="6FFB17E9"/>
    <w:rsid w:val="6FFF22C9"/>
    <w:rsid w:val="700A0594"/>
    <w:rsid w:val="7038578F"/>
    <w:rsid w:val="703B1105"/>
    <w:rsid w:val="706031A0"/>
    <w:rsid w:val="706C25FE"/>
    <w:rsid w:val="706D0E4B"/>
    <w:rsid w:val="70942538"/>
    <w:rsid w:val="70AD10C2"/>
    <w:rsid w:val="70E8294D"/>
    <w:rsid w:val="713C459F"/>
    <w:rsid w:val="71496A24"/>
    <w:rsid w:val="716F4028"/>
    <w:rsid w:val="71846DE1"/>
    <w:rsid w:val="71A65878"/>
    <w:rsid w:val="71E70438"/>
    <w:rsid w:val="720A5FB7"/>
    <w:rsid w:val="72263AAF"/>
    <w:rsid w:val="7255310D"/>
    <w:rsid w:val="72A71C81"/>
    <w:rsid w:val="72E33960"/>
    <w:rsid w:val="72E61B87"/>
    <w:rsid w:val="730B5EB9"/>
    <w:rsid w:val="73202523"/>
    <w:rsid w:val="732B28C7"/>
    <w:rsid w:val="7365365F"/>
    <w:rsid w:val="73DC6103"/>
    <w:rsid w:val="74297591"/>
    <w:rsid w:val="743C5943"/>
    <w:rsid w:val="74B35E8D"/>
    <w:rsid w:val="75BE6BCA"/>
    <w:rsid w:val="75C0226C"/>
    <w:rsid w:val="75EF008F"/>
    <w:rsid w:val="76292BFC"/>
    <w:rsid w:val="764117F1"/>
    <w:rsid w:val="766736F0"/>
    <w:rsid w:val="769B64B7"/>
    <w:rsid w:val="76BF57D5"/>
    <w:rsid w:val="76DB742C"/>
    <w:rsid w:val="76E25E1E"/>
    <w:rsid w:val="76EE13AB"/>
    <w:rsid w:val="770C6097"/>
    <w:rsid w:val="772538E7"/>
    <w:rsid w:val="777B1A04"/>
    <w:rsid w:val="779D0290"/>
    <w:rsid w:val="77DB548A"/>
    <w:rsid w:val="78686BA9"/>
    <w:rsid w:val="78893826"/>
    <w:rsid w:val="78895347"/>
    <w:rsid w:val="789B4189"/>
    <w:rsid w:val="78A35907"/>
    <w:rsid w:val="78A66FD7"/>
    <w:rsid w:val="78FA7B4C"/>
    <w:rsid w:val="79311181"/>
    <w:rsid w:val="79555262"/>
    <w:rsid w:val="797456A1"/>
    <w:rsid w:val="79816E0B"/>
    <w:rsid w:val="7985003A"/>
    <w:rsid w:val="798A1DBD"/>
    <w:rsid w:val="79C661A5"/>
    <w:rsid w:val="79DD3BE8"/>
    <w:rsid w:val="7A3755B3"/>
    <w:rsid w:val="7A3821B9"/>
    <w:rsid w:val="7A4C6250"/>
    <w:rsid w:val="7A6714DC"/>
    <w:rsid w:val="7A705649"/>
    <w:rsid w:val="7AD36C79"/>
    <w:rsid w:val="7AE52209"/>
    <w:rsid w:val="7AF67924"/>
    <w:rsid w:val="7B555790"/>
    <w:rsid w:val="7B684289"/>
    <w:rsid w:val="7BD27FF0"/>
    <w:rsid w:val="7C191E55"/>
    <w:rsid w:val="7C7978E4"/>
    <w:rsid w:val="7CB45CE3"/>
    <w:rsid w:val="7CB64DBE"/>
    <w:rsid w:val="7CC05F9A"/>
    <w:rsid w:val="7CDA45B6"/>
    <w:rsid w:val="7CEF7CE7"/>
    <w:rsid w:val="7CF11CC2"/>
    <w:rsid w:val="7D56764F"/>
    <w:rsid w:val="7D640DBB"/>
    <w:rsid w:val="7DAB6905"/>
    <w:rsid w:val="7DFD5BDA"/>
    <w:rsid w:val="7E066A6D"/>
    <w:rsid w:val="7E3E312B"/>
    <w:rsid w:val="7E571BDD"/>
    <w:rsid w:val="7E6F7334"/>
    <w:rsid w:val="7E7361B8"/>
    <w:rsid w:val="7E8B6263"/>
    <w:rsid w:val="7E9C2931"/>
    <w:rsid w:val="7EE97FD7"/>
    <w:rsid w:val="7F0C7065"/>
    <w:rsid w:val="7F153D5B"/>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4"/>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20"/>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3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2"/>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semiHidden/>
    <w:unhideWhenUsed/>
    <w:qFormat/>
    <w:uiPriority w:val="99"/>
    <w:rPr>
      <w:sz w:val="21"/>
      <w:szCs w:val="21"/>
    </w:rPr>
  </w:style>
  <w:style w:type="character" w:customStyle="1" w:styleId="20">
    <w:name w:val="标题 2 Char"/>
    <w:link w:val="4"/>
    <w:qFormat/>
    <w:uiPriority w:val="0"/>
    <w:rPr>
      <w:rFonts w:ascii="Arial" w:hAnsi="Arial" w:eastAsia="方正黑体_GBK"/>
      <w:b/>
      <w:kern w:val="0"/>
      <w:sz w:val="32"/>
    </w:rPr>
  </w:style>
  <w:style w:type="paragraph" w:customStyle="1" w:styleId="21">
    <w:name w:val="一级条标题"/>
    <w:basedOn w:val="22"/>
    <w:next w:val="23"/>
    <w:qFormat/>
    <w:uiPriority w:val="0"/>
    <w:pPr>
      <w:tabs>
        <w:tab w:val="left" w:pos="360"/>
        <w:tab w:val="left" w:pos="1035"/>
        <w:tab w:val="left" w:pos="1137"/>
        <w:tab w:val="left" w:pos="2577"/>
      </w:tabs>
      <w:spacing w:beforeLines="0" w:afterLines="0"/>
      <w:ind w:left="1035" w:hanging="570"/>
      <w:outlineLvl w:val="2"/>
    </w:pPr>
  </w:style>
  <w:style w:type="paragraph" w:customStyle="1" w:styleId="22">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3">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4">
    <w:name w:val="标题 1 Char"/>
    <w:link w:val="3"/>
    <w:qFormat/>
    <w:uiPriority w:val="0"/>
    <w:rPr>
      <w:rFonts w:eastAsia="方正黑体_GBK" w:asciiTheme="minorAscii" w:hAnsiTheme="minorAscii"/>
      <w:b/>
      <w:kern w:val="44"/>
      <w:sz w:val="32"/>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21"/>
    <w:basedOn w:val="18"/>
    <w:qFormat/>
    <w:uiPriority w:val="0"/>
    <w:rPr>
      <w:rFonts w:hint="eastAsia" w:ascii="宋体" w:hAnsi="宋体" w:eastAsia="宋体" w:cs="宋体"/>
      <w:color w:val="000000"/>
      <w:sz w:val="20"/>
      <w:szCs w:val="20"/>
      <w:u w:val="none"/>
    </w:rPr>
  </w:style>
  <w:style w:type="paragraph" w:styleId="29">
    <w:name w:val="List Paragraph"/>
    <w:basedOn w:val="1"/>
    <w:qFormat/>
    <w:uiPriority w:val="99"/>
    <w:pPr>
      <w:ind w:firstLine="420"/>
    </w:pPr>
  </w:style>
  <w:style w:type="paragraph" w:customStyle="1" w:styleId="30">
    <w:name w:val="表格文字"/>
    <w:basedOn w:val="1"/>
    <w:qFormat/>
    <w:uiPriority w:val="0"/>
    <w:pPr>
      <w:spacing w:before="25" w:after="25"/>
      <w:jc w:val="left"/>
    </w:pPr>
    <w:rPr>
      <w:bCs/>
      <w:spacing w:val="10"/>
      <w:kern w:val="0"/>
      <w:sz w:val="24"/>
      <w:szCs w:val="20"/>
    </w:rPr>
  </w:style>
  <w:style w:type="character" w:customStyle="1" w:styleId="31">
    <w:name w:val="标题 3 Char"/>
    <w:link w:val="5"/>
    <w:qFormat/>
    <w:uiPriority w:val="0"/>
    <w:rPr>
      <w:b/>
      <w:sz w:val="32"/>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3">
    <w:name w:val="标题 21"/>
    <w:basedOn w:val="1"/>
    <w:qFormat/>
    <w:uiPriority w:val="1"/>
    <w:pPr>
      <w:ind w:left="501" w:hanging="401"/>
      <w:outlineLvl w:val="2"/>
    </w:pPr>
    <w:rPr>
      <w:rFonts w:ascii="Microsoft JhengHei" w:hAnsi="Microsoft JhengHei" w:eastAsia="Microsoft JhengHei" w:cs="Microsoft JhengHei"/>
      <w:b/>
      <w:bCs/>
      <w:sz w:val="32"/>
      <w:szCs w:val="32"/>
    </w:rPr>
  </w:style>
  <w:style w:type="paragraph" w:customStyle="1" w:styleId="34">
    <w:name w:val="标题 31"/>
    <w:basedOn w:val="1"/>
    <w:qFormat/>
    <w:uiPriority w:val="1"/>
    <w:pPr>
      <w:ind w:left="726" w:hanging="489"/>
      <w:outlineLvl w:val="3"/>
    </w:pPr>
    <w:rPr>
      <w:sz w:val="28"/>
      <w:szCs w:val="28"/>
    </w:rPr>
  </w:style>
  <w:style w:type="paragraph" w:customStyle="1" w:styleId="35">
    <w:name w:val="Table Paragraph"/>
    <w:basedOn w:val="1"/>
    <w:qFormat/>
    <w:uiPriority w:val="1"/>
  </w:style>
  <w:style w:type="table" w:customStyle="1" w:styleId="36">
    <w:name w:val="Table Normal_0"/>
    <w:unhideWhenUsed/>
    <w:qFormat/>
    <w:uiPriority w:val="2"/>
    <w:tblPr>
      <w:tblCellMar>
        <w:top w:w="0" w:type="dxa"/>
        <w:left w:w="0" w:type="dxa"/>
        <w:bottom w:w="0" w:type="dxa"/>
        <w:right w:w="0" w:type="dxa"/>
      </w:tblCellMar>
    </w:tblPr>
  </w:style>
  <w:style w:type="character" w:customStyle="1" w:styleId="37">
    <w:name w:val="font41"/>
    <w:basedOn w:val="18"/>
    <w:qFormat/>
    <w:uiPriority w:val="0"/>
    <w:rPr>
      <w:rFonts w:ascii="方正仿宋_GBK" w:hAnsi="方正仿宋_GBK" w:eastAsia="方正仿宋_GBK" w:cs="方正仿宋_GBK"/>
      <w:color w:val="FF0000"/>
      <w:sz w:val="22"/>
      <w:szCs w:val="22"/>
      <w:u w:val="none"/>
    </w:rPr>
  </w:style>
  <w:style w:type="character" w:customStyle="1" w:styleId="38">
    <w:name w:val="font51"/>
    <w:basedOn w:val="18"/>
    <w:qFormat/>
    <w:uiPriority w:val="0"/>
    <w:rPr>
      <w:rFonts w:hint="eastAsia" w:ascii="宋体" w:hAnsi="宋体" w:eastAsia="宋体" w:cs="宋体"/>
      <w:color w:val="FF0000"/>
      <w:sz w:val="22"/>
      <w:szCs w:val="22"/>
      <w:u w:val="none"/>
    </w:rPr>
  </w:style>
  <w:style w:type="character" w:customStyle="1" w:styleId="39">
    <w:name w:val="font71"/>
    <w:basedOn w:val="18"/>
    <w:qFormat/>
    <w:uiPriority w:val="0"/>
    <w:rPr>
      <w:rFonts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19477</Words>
  <Characters>20885</Characters>
  <Lines>0</Lines>
  <Paragraphs>0</Paragraphs>
  <TotalTime>12</TotalTime>
  <ScaleCrop>false</ScaleCrop>
  <LinksUpToDate>false</LinksUpToDate>
  <CharactersWithSpaces>22308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王春艳</cp:lastModifiedBy>
  <cp:lastPrinted>2023-01-31T07:48:00Z</cp:lastPrinted>
  <dcterms:modified xsi:type="dcterms:W3CDTF">2025-05-30T04:22:05Z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A6B7C441E9194C389B285D561872B16D</vt:lpwstr>
  </property>
</Properties>
</file>